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outlineLvl w:val="0"/>
        <w:rPr>
          <w:rFonts w:ascii="黑体" w:hAnsi="Times New Roman" w:eastAsia="黑体" w:cs="Times New Roman"/>
          <w:kern w:val="0"/>
          <w:sz w:val="32"/>
          <w:szCs w:val="32"/>
        </w:rPr>
      </w:pPr>
      <w:bookmarkStart w:id="0" w:name="_Hlk80621705"/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kern w:val="0"/>
          <w:sz w:val="32"/>
          <w:szCs w:val="32"/>
        </w:rPr>
        <w:t>1</w:t>
      </w:r>
    </w:p>
    <w:bookmarkEnd w:id="0"/>
    <w:p>
      <w:pPr>
        <w:adjustRightInd w:val="0"/>
        <w:snapToGrid w:val="0"/>
        <w:jc w:val="center"/>
        <w:rPr>
          <w:rFonts w:ascii="Times New Roman" w:hAnsi="Times New Roman" w:eastAsia="华文中宋" w:cs="Times New Roman"/>
          <w:spacing w:val="-20"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华文中宋" w:cs="Times New Roman"/>
          <w:spacing w:val="-20"/>
          <w:kern w:val="0"/>
          <w:sz w:val="44"/>
          <w:szCs w:val="44"/>
        </w:rPr>
      </w:pPr>
      <w:bookmarkStart w:id="1" w:name="_GoBack"/>
      <w:r>
        <w:rPr>
          <w:rFonts w:hint="eastAsia" w:ascii="Times New Roman" w:hAnsi="Times New Roman" w:eastAsia="华文中宋" w:cs="Times New Roman"/>
          <w:spacing w:val="-20"/>
          <w:kern w:val="0"/>
          <w:sz w:val="44"/>
          <w:szCs w:val="44"/>
        </w:rPr>
        <w:t>首批技工教育和职业培训教学指导委员会类别</w:t>
      </w:r>
    </w:p>
    <w:bookmarkEnd w:id="1"/>
    <w:p>
      <w:pPr>
        <w:adjustRightInd w:val="0"/>
        <w:snapToGrid w:val="0"/>
        <w:jc w:val="center"/>
        <w:rPr>
          <w:rFonts w:ascii="Times New Roman" w:hAnsi="Times New Roman" w:eastAsia="华文中宋" w:cs="Times New Roman"/>
          <w:spacing w:val="-20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智能制造与智能装备类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对应专业（职业）群：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数字化制造、数控加工、机电一体化、机械装备制造、智能建筑等。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数字与信息技术类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对应专业（职业）群：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工业互联网与物联网、人工智能与云计算、机器人应用、计算机技术应用、网络技术与安全、电气自动化、现代电子技术等。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新能源与交通运输类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对应专业（职业）群：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新能源汽车与智能化、汽车技术、汽车钣喷与服务、公路运输、铁路运输等。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四、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康养生活服务类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对应专业（职业）群：生活服务、健康服务、幼儿教育、餐饮服务、酒店与旅游服务等。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五、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现代商贸流通类</w:t>
      </w:r>
    </w:p>
    <w:p>
      <w:pPr>
        <w:spacing w:line="600" w:lineRule="exact"/>
        <w:ind w:firstLine="640" w:firstLineChars="200"/>
        <w:rPr>
          <w:rFonts w:ascii="Times New Roman" w:hAnsi="Times New Roman" w:eastAsia="华文中宋" w:cs="Times New Roman"/>
          <w:kern w:val="0"/>
          <w:sz w:val="44"/>
          <w:szCs w:val="44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对应专业（职业）群：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创意设计、电商物流、客运服务、营销文秘、财务管理等。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">
    <w:altName w:val="仿宋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078D"/>
    <w:rsid w:val="717B07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2021-11-26T06:48:00Z</dcterms:created>
  <dc:creator>user</dc:creator>
  <cp:lastModifiedBy>user</cp:lastModifiedBy>
  <dcterms:modified xsi:type="dcterms:W3CDTF">2021-11-26T06:48:36Z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