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3240" w:firstLineChars="900"/>
        <w:rPr>
          <w:sz w:val="36"/>
          <w:szCs w:val="36"/>
        </w:rPr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  <w:t>管廊运维员</w:t>
      </w:r>
    </w:p>
    <w:p>
      <w:pPr>
        <w:widowControl/>
        <w:spacing w:line="360" w:lineRule="auto"/>
        <w:jc w:val="center"/>
        <w:rPr>
          <w:sz w:val="36"/>
          <w:szCs w:val="36"/>
        </w:rPr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  <w:t>国家职业技能标准</w:t>
      </w:r>
    </w:p>
    <w:p>
      <w:pPr>
        <w:widowControl/>
        <w:spacing w:line="360" w:lineRule="auto"/>
        <w:ind w:firstLine="3360" w:firstLineChars="1400"/>
        <w:jc w:val="left"/>
        <w:rPr>
          <w:rFonts w:ascii="黑体" w:hAnsi="宋体" w:eastAsia="黑体" w:cs="黑体"/>
          <w:color w:val="000000"/>
          <w:kern w:val="0"/>
          <w:sz w:val="24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lang w:bidi="ar"/>
        </w:rPr>
        <w:t>（</w:t>
      </w:r>
      <w:r>
        <w:rPr>
          <w:rFonts w:hint="eastAsia" w:ascii="黑体" w:hAnsi="宋体" w:eastAsia="黑体" w:cs="黑体"/>
          <w:color w:val="000000"/>
          <w:kern w:val="0"/>
          <w:sz w:val="24"/>
          <w:lang w:eastAsia="zh-CN" w:bidi="ar"/>
        </w:rPr>
        <w:t>征求意见稿</w:t>
      </w:r>
      <w:r>
        <w:rPr>
          <w:rFonts w:hint="eastAsia" w:ascii="黑体" w:hAnsi="宋体" w:eastAsia="黑体" w:cs="黑体"/>
          <w:color w:val="000000"/>
          <w:kern w:val="0"/>
          <w:sz w:val="24"/>
          <w:lang w:bidi="ar"/>
        </w:rPr>
        <w:t>）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lang w:bidi="ar"/>
        </w:rPr>
        <w:t xml:space="preserve">1. 职业概况 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lang w:bidi="ar"/>
        </w:rPr>
        <w:t xml:space="preserve">1.1 职业名称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>管廊运维员</w:t>
      </w:r>
    </w:p>
    <w:p>
      <w:pPr>
        <w:widowControl/>
        <w:spacing w:line="360" w:lineRule="auto"/>
        <w:jc w:val="lef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 xml:space="preserve">1.2 职业编码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4-09-11-00 </w:t>
      </w:r>
    </w:p>
    <w:p>
      <w:pPr>
        <w:widowControl/>
        <w:spacing w:line="360" w:lineRule="auto"/>
        <w:jc w:val="left"/>
        <w:rPr>
          <w:rFonts w:ascii="黑体" w:hAnsi="宋体" w:eastAsia="黑体" w:cs="黑体"/>
          <w:color w:val="000000"/>
          <w:kern w:val="0"/>
          <w:sz w:val="24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lang w:bidi="ar"/>
        </w:rPr>
        <w:t xml:space="preserve">1.3 职业定义 </w:t>
      </w:r>
    </w:p>
    <w:p>
      <w:pPr>
        <w:widowControl/>
        <w:spacing w:line="360" w:lineRule="auto"/>
        <w:ind w:firstLine="480" w:firstLineChars="200"/>
        <w:jc w:val="left"/>
        <w:rPr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在电力、通信、给排水等管线集于一体的城市综合管廊运营过程中，从事项目组织管理和设备运行与维护等技术工作的人员。 </w:t>
      </w:r>
    </w:p>
    <w:p>
      <w:pPr>
        <w:widowControl/>
        <w:spacing w:line="360" w:lineRule="auto"/>
        <w:jc w:val="left"/>
        <w:rPr>
          <w:rFonts w:ascii="黑体" w:hAnsi="宋体" w:eastAsia="黑体" w:cs="黑体"/>
          <w:color w:val="000000"/>
          <w:kern w:val="0"/>
          <w:sz w:val="24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lang w:bidi="ar"/>
        </w:rPr>
        <w:t xml:space="preserve">1.4 职业技能等级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本职业共设四个等级，分别为：四级/中级工、三级/高级工、二级/技师、一级/高级技师。 </w:t>
      </w:r>
    </w:p>
    <w:p>
      <w:pPr>
        <w:widowControl/>
        <w:spacing w:line="360" w:lineRule="auto"/>
        <w:jc w:val="lef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 xml:space="preserve">1.5 职业环境条件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>室内、外，地下，常温，潮湿，有限空间。</w:t>
      </w:r>
    </w:p>
    <w:p>
      <w:pPr>
        <w:widowControl/>
        <w:spacing w:line="360" w:lineRule="auto"/>
        <w:jc w:val="lef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 xml:space="preserve">1.6 职业能力特征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身体健康、动作协调，具有一定的学习能力、理解能力、组织能力、协调能力、判断能力和计算能力。 </w:t>
      </w:r>
    </w:p>
    <w:p>
      <w:pPr>
        <w:widowControl/>
        <w:spacing w:line="360" w:lineRule="auto"/>
        <w:jc w:val="lef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 xml:space="preserve">1.7 普通受教育程度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>高中毕业(或同等学力）。</w:t>
      </w:r>
    </w:p>
    <w:p>
      <w:pPr>
        <w:widowControl/>
        <w:spacing w:line="360" w:lineRule="auto"/>
        <w:jc w:val="lef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1.8 培训参考学时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>四级/中级工48标准学时，三级/高级工64标准学时，二级/技师72标准学时，一级/高级技师80标准学时。</w:t>
      </w:r>
    </w:p>
    <w:p>
      <w:pPr>
        <w:widowControl/>
        <w:spacing w:line="360" w:lineRule="auto"/>
        <w:jc w:val="lef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 xml:space="preserve">1.9 职业技能鉴定要求 </w:t>
      </w:r>
    </w:p>
    <w:p>
      <w:pPr>
        <w:widowControl/>
        <w:spacing w:line="360" w:lineRule="auto"/>
        <w:jc w:val="lef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 xml:space="preserve">1.9.1 申报条件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具备以下条件之一者，可申报四级/中级工：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>（1）取得相关职业</w:t>
      </w:r>
      <w:r>
        <w:rPr>
          <w:rStyle w:val="16"/>
          <w:rFonts w:hint="eastAsia" w:ascii="宋体" w:hAnsi="宋体" w:cs="宋体"/>
          <w:color w:val="000000"/>
          <w:kern w:val="0"/>
          <w:sz w:val="24"/>
          <w:lang w:bidi="ar"/>
        </w:rPr>
        <w:footnoteReference w:id="0"/>
      </w: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五级/初级工职业资格证书（技能等级证书）后，累计从事本职业或相关职业工作 4 年（含）以上。 </w:t>
      </w:r>
    </w:p>
    <w:p>
      <w:pPr>
        <w:widowControl/>
        <w:numPr>
          <w:ilvl w:val="0"/>
          <w:numId w:val="1"/>
        </w:numPr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>累计从事本职业或相关职业工作 6 年（含）以上。</w:t>
      </w:r>
    </w:p>
    <w:p>
      <w:pPr>
        <w:widowControl/>
        <w:numPr>
          <w:ilvl w:val="0"/>
          <w:numId w:val="1"/>
        </w:numPr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>取得技工学</w:t>
      </w:r>
      <w:r>
        <w:rPr>
          <w:rFonts w:hint="eastAsia" w:ascii="宋体" w:hAnsi="宋体" w:cs="宋体"/>
          <w:kern w:val="0"/>
          <w:sz w:val="24"/>
          <w:lang w:bidi="ar"/>
        </w:rPr>
        <w:t>校相关专业</w:t>
      </w:r>
      <w:r>
        <w:rPr>
          <w:rStyle w:val="16"/>
          <w:rFonts w:hint="eastAsia" w:ascii="宋体" w:hAnsi="宋体" w:cs="宋体"/>
          <w:kern w:val="0"/>
          <w:sz w:val="24"/>
          <w:lang w:bidi="ar"/>
        </w:rPr>
        <w:footnoteReference w:id="1"/>
      </w:r>
      <w:r>
        <w:rPr>
          <w:rFonts w:hint="eastAsia" w:ascii="宋体" w:hAnsi="宋体" w:cs="宋体"/>
          <w:kern w:val="0"/>
          <w:sz w:val="24"/>
          <w:lang w:bidi="ar"/>
        </w:rPr>
        <w:t>毕</w:t>
      </w: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业证书（含尚未取得毕业证书的在校应届毕业生）；或取得经评估认证、以中级技能为培养目标的中等及以上职业学校相关专业毕业证书（含尚未取得毕业证书的在校应届毕业生）。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具备以下条件之一者，可申报三级/高级工：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（1）取得本职业或相关职业四级/中级工职业资格证书（技能等级证书）后，累计从事本职业或相关职业工作 5 年（含）以上。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（2）取得本职业或相关职业四级/中级工职业资格证书（技能等级证书），并具有高级技工学校、技师学院毕业证书（含尚未取得毕业证书的在校应届毕业生）；或取得本职业或相关职业四级/中级工职业资格证书（技能等级证书），并具有经评估认证、以高级技能为培养目标的高等职业学校相关专业毕业证书（含尚未取得毕业证书的在校应届毕业生）。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>（3）具有大专及以上相关专业毕业证书，并取得本职业或相关职业四级/ 中级工职业资格证书（技能等级证书）后，累计从事本职业或相关职业工作 2 年（含） 以上。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具备以下条件之一者，可申报二级/技师：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（1）取得本职业或相关职业三级/高级工职业资格证书（技能等级证书）后，累计从事本职业或相关职业工作 4 年（含）以上。 </w:t>
      </w:r>
    </w:p>
    <w:p>
      <w:pPr>
        <w:widowControl/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>（2）取得本职业或相关职业三级/高级工职业资格证书（技能等级证书）的高级技工学校、技师学院毕业生，累计从事本职业或相关职业工作 3 年（含）以上；或取得本职业或相关职业预备技师证书的技师学院毕业生，累计从事本职业或相关职业工作 2 年（含）以上。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具备以下条件者，可申报一级/高级技师：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>取得本职业或相关职业二级/技师职业资格证书（技能等级证书）后，累计从事本职业或相关职业工作 4 年（含）以上。</w:t>
      </w:r>
    </w:p>
    <w:p>
      <w:pPr>
        <w:widowControl/>
        <w:spacing w:line="360" w:lineRule="auto"/>
        <w:jc w:val="left"/>
      </w:pPr>
      <w:r>
        <w:rPr>
          <w:rFonts w:hint="eastAsia" w:ascii="黑体" w:hAnsi="宋体" w:eastAsia="黑体" w:cs="黑体"/>
          <w:color w:val="000000"/>
          <w:kern w:val="0"/>
          <w:sz w:val="24"/>
          <w:lang w:bidi="ar"/>
        </w:rPr>
        <w:t xml:space="preserve">1.9.2 鉴定方式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>分为理论知识考试、技能考核以及综合评审。理论知识考试以笔试、机考等方式为主，主要考核从业人员从事本职业应掌握的基本要求和相关知识要求；技能考核主要采用现场操作、模拟操作等方式进行，主要考核从业人员从事本职业应具备的技能水平；综合评审主要针对技师和高级技师，通常采取审阅申报材料、答辩等方式进行全面评议和审查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>理论知识考试、技能考核和综合评审均实行百分制，成绩皆达 60 分（含）以上者为合格。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lang w:bidi="ar"/>
        </w:rPr>
        <w:t xml:space="preserve">1.9.3 监考人员、考评人员与考生配比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理论知识考试中的监考人员与考生配比为1:15，且每个考场不少于 2 名监考人员；技能考核中的考评人员与考生配比为1:5，且考评人员为 3 人（含）以上单数；综合评审委员为 3 人（含）以上单数。 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lang w:bidi="ar"/>
        </w:rPr>
        <w:t xml:space="preserve">1.9.4 鉴定时间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理论知识考试时间不少于 90 min，技能考核时间不少于 120 min，综合评审时间不少于 20 min。 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lang w:bidi="ar"/>
        </w:rPr>
        <w:t xml:space="preserve">1.9.6 鉴定场所设备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>理论知识考试在标准教室或机房进行，技能考核在管廊模拟实训场或管廊工作现场进行。</w:t>
      </w:r>
    </w:p>
    <w:p>
      <w:pPr>
        <w:widowControl/>
        <w:spacing w:line="360" w:lineRule="auto"/>
        <w:jc w:val="left"/>
        <w:rPr>
          <w:rFonts w:ascii="黑体" w:hAnsi="黑体" w:eastAsia="黑体" w:cs="黑体"/>
          <w:color w:val="000000"/>
          <w:sz w:val="24"/>
          <w:lang w:bidi="ar"/>
        </w:rPr>
      </w:pPr>
    </w:p>
    <w:p>
      <w:pPr>
        <w:widowControl/>
        <w:spacing w:line="360" w:lineRule="auto"/>
        <w:jc w:val="left"/>
        <w:rPr>
          <w:rFonts w:ascii="黑体" w:hAnsi="黑体" w:eastAsia="黑体" w:cs="黑体"/>
          <w:color w:val="000000"/>
          <w:sz w:val="24"/>
          <w:lang w:bidi="ar"/>
        </w:rPr>
        <w:sectPr>
          <w:footerReference r:id="rId4" w:type="default"/>
          <w:footnotePr>
            <w:numFmt w:val="decimalEnclosedCircleChinese"/>
          </w:footnote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widowControl/>
        <w:spacing w:line="360" w:lineRule="auto"/>
        <w:jc w:val="left"/>
        <w:rPr>
          <w:sz w:val="24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lang w:bidi="ar"/>
        </w:rPr>
        <w:t xml:space="preserve">2. 基本要求 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lang w:bidi="ar"/>
        </w:rPr>
        <w:t xml:space="preserve">2.1 职业道德 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lang w:bidi="ar"/>
        </w:rPr>
        <w:t xml:space="preserve">2.1.1 职业道德基本知识 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lang w:bidi="ar"/>
        </w:rPr>
        <w:t xml:space="preserve">2.1.2 职业守则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（1）爱岗敬业，忠于职守。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（2）遵纪守法，文明生产。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（3）诚实守信，团结协作。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（4）严守规程，安全操作。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（5）勤奋好学，不断进取。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>（6）弘扬工匠精神，追求精益求精。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lang w:bidi="ar"/>
        </w:rPr>
        <w:t xml:space="preserve">2.2 基础知识 </w:t>
      </w:r>
    </w:p>
    <w:p>
      <w:pPr>
        <w:widowControl/>
        <w:spacing w:line="360" w:lineRule="auto"/>
        <w:jc w:val="left"/>
        <w:rPr>
          <w:rFonts w:ascii="黑体" w:hAnsi="宋体" w:eastAsia="黑体" w:cs="黑体"/>
          <w:kern w:val="0"/>
          <w:sz w:val="24"/>
          <w:lang w:bidi="ar"/>
        </w:rPr>
      </w:pPr>
      <w:r>
        <w:rPr>
          <w:rFonts w:hint="eastAsia" w:ascii="黑体" w:hAnsi="宋体" w:eastAsia="黑体" w:cs="黑体"/>
          <w:kern w:val="0"/>
          <w:sz w:val="24"/>
          <w:lang w:bidi="ar"/>
        </w:rPr>
        <w:t>2.2.1 管廊基础知识</w:t>
      </w:r>
    </w:p>
    <w:p>
      <w:pPr>
        <w:widowControl/>
        <w:numPr>
          <w:ilvl w:val="0"/>
          <w:numId w:val="2"/>
        </w:numPr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lang w:bidi="ar"/>
        </w:rPr>
      </w:pPr>
      <w:r>
        <w:rPr>
          <w:rFonts w:hint="eastAsia" w:ascii="宋体" w:hAnsi="宋体" w:cs="宋体"/>
          <w:kern w:val="0"/>
          <w:sz w:val="24"/>
          <w:lang w:bidi="ar"/>
        </w:rPr>
        <w:t>管廊的分类。</w:t>
      </w:r>
    </w:p>
    <w:p>
      <w:pPr>
        <w:widowControl/>
        <w:numPr>
          <w:ilvl w:val="0"/>
          <w:numId w:val="2"/>
        </w:numPr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lang w:bidi="ar"/>
        </w:rPr>
      </w:pPr>
      <w:r>
        <w:rPr>
          <w:rFonts w:hint="eastAsia" w:ascii="宋体" w:hAnsi="宋体" w:cs="宋体"/>
          <w:kern w:val="0"/>
          <w:sz w:val="24"/>
          <w:lang w:bidi="ar"/>
        </w:rPr>
        <w:t>管廊的建设、运营发展概况。</w:t>
      </w:r>
    </w:p>
    <w:p>
      <w:pPr>
        <w:widowControl/>
        <w:numPr>
          <w:ilvl w:val="0"/>
          <w:numId w:val="2"/>
        </w:numPr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lang w:bidi="ar"/>
        </w:rPr>
      </w:pPr>
      <w:r>
        <w:rPr>
          <w:rFonts w:hint="eastAsia" w:ascii="宋体" w:hAnsi="宋体" w:cs="宋体"/>
          <w:kern w:val="0"/>
          <w:sz w:val="24"/>
          <w:lang w:bidi="ar"/>
        </w:rPr>
        <w:t>管廊的政策、规范文件。</w:t>
      </w:r>
    </w:p>
    <w:p>
      <w:pPr>
        <w:widowControl/>
        <w:spacing w:line="360" w:lineRule="auto"/>
        <w:jc w:val="left"/>
        <w:rPr>
          <w:rFonts w:ascii="黑体" w:hAnsi="宋体" w:eastAsia="黑体" w:cs="黑体"/>
          <w:kern w:val="0"/>
          <w:sz w:val="24"/>
          <w:lang w:bidi="ar"/>
        </w:rPr>
      </w:pPr>
      <w:r>
        <w:rPr>
          <w:rFonts w:hint="eastAsia" w:ascii="黑体" w:hAnsi="宋体" w:eastAsia="黑体" w:cs="黑体"/>
          <w:kern w:val="0"/>
          <w:sz w:val="24"/>
          <w:lang w:bidi="ar"/>
        </w:rPr>
        <w:t>2.2.2 电工电子基础知识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lang w:bidi="ar"/>
        </w:rPr>
      </w:pPr>
      <w:r>
        <w:rPr>
          <w:rFonts w:hint="eastAsia" w:ascii="宋体" w:hAnsi="宋体" w:cs="宋体"/>
          <w:kern w:val="0"/>
          <w:sz w:val="24"/>
          <w:lang w:bidi="ar"/>
        </w:rPr>
        <w:t>（1）三相交流电路基本知识。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lang w:bidi="ar"/>
        </w:rPr>
      </w:pPr>
      <w:r>
        <w:rPr>
          <w:rFonts w:hint="eastAsia" w:ascii="宋体" w:hAnsi="宋体" w:cs="宋体"/>
          <w:kern w:val="0"/>
          <w:sz w:val="24"/>
          <w:lang w:bidi="ar"/>
        </w:rPr>
        <w:t>（2）电工常用材料的性能、用途。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lang w:bidi="ar"/>
        </w:rPr>
      </w:pPr>
      <w:r>
        <w:rPr>
          <w:rFonts w:hint="eastAsia" w:ascii="宋体" w:hAnsi="宋体" w:cs="宋体"/>
          <w:kern w:val="0"/>
          <w:sz w:val="24"/>
          <w:lang w:bidi="ar"/>
        </w:rPr>
        <w:t>（3）电力拖动及控制原理基础知识。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lang w:bidi="ar"/>
        </w:rPr>
      </w:pPr>
      <w:r>
        <w:rPr>
          <w:rFonts w:hint="eastAsia" w:ascii="宋体" w:hAnsi="宋体" w:cs="宋体"/>
          <w:kern w:val="0"/>
          <w:sz w:val="24"/>
          <w:lang w:bidi="ar"/>
        </w:rPr>
        <w:t>（4）电气图的识读原理。</w:t>
      </w:r>
    </w:p>
    <w:p>
      <w:pPr>
        <w:widowControl/>
        <w:spacing w:line="360" w:lineRule="auto"/>
        <w:jc w:val="left"/>
        <w:rPr>
          <w:rFonts w:ascii="黑体" w:hAnsi="宋体" w:eastAsia="黑体" w:cs="黑体"/>
          <w:kern w:val="0"/>
          <w:sz w:val="24"/>
          <w:lang w:bidi="ar"/>
        </w:rPr>
      </w:pPr>
      <w:r>
        <w:rPr>
          <w:rFonts w:hint="eastAsia" w:ascii="黑体" w:hAnsi="宋体" w:eastAsia="黑体" w:cs="黑体"/>
          <w:kern w:val="0"/>
          <w:sz w:val="24"/>
          <w:lang w:bidi="ar"/>
        </w:rPr>
        <w:t>2.2.3 管廊本体基础知识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lang w:bidi="ar"/>
        </w:rPr>
      </w:pPr>
      <w:r>
        <w:rPr>
          <w:rFonts w:hint="eastAsia" w:ascii="宋体" w:hAnsi="宋体" w:cs="宋体"/>
          <w:kern w:val="0"/>
          <w:sz w:val="24"/>
          <w:lang w:bidi="ar"/>
        </w:rPr>
        <w:t>（1）结构图的识读原理。</w:t>
      </w:r>
    </w:p>
    <w:p>
      <w:pPr>
        <w:widowControl/>
        <w:spacing w:line="360" w:lineRule="auto"/>
        <w:ind w:firstLine="480" w:firstLineChars="200"/>
        <w:jc w:val="left"/>
        <w:rPr>
          <w:rFonts w:ascii="黑体" w:hAnsi="宋体" w:eastAsia="黑体" w:cs="黑体"/>
          <w:kern w:val="0"/>
          <w:sz w:val="24"/>
          <w:lang w:bidi="ar"/>
        </w:rPr>
      </w:pPr>
      <w:r>
        <w:rPr>
          <w:rFonts w:hint="eastAsia" w:ascii="宋体" w:hAnsi="宋体" w:cs="宋体"/>
          <w:kern w:val="0"/>
          <w:sz w:val="24"/>
          <w:lang w:bidi="ar"/>
        </w:rPr>
        <w:t>（2）本体节点的用途、要求。</w:t>
      </w:r>
    </w:p>
    <w:p>
      <w:pPr>
        <w:widowControl/>
        <w:spacing w:line="360" w:lineRule="auto"/>
        <w:jc w:val="left"/>
        <w:rPr>
          <w:rFonts w:ascii="黑体" w:hAnsi="宋体" w:eastAsia="黑体" w:cs="黑体"/>
          <w:kern w:val="0"/>
          <w:sz w:val="24"/>
          <w:lang w:bidi="ar"/>
        </w:rPr>
      </w:pPr>
      <w:r>
        <w:rPr>
          <w:rFonts w:hint="eastAsia" w:ascii="黑体" w:hAnsi="宋体" w:eastAsia="黑体" w:cs="黑体"/>
          <w:kern w:val="0"/>
          <w:sz w:val="24"/>
          <w:lang w:bidi="ar"/>
        </w:rPr>
        <w:t>2.2.4 入廊管线基础知识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lang w:bidi="ar"/>
        </w:rPr>
        <w:t xml:space="preserve">2.2.5 安全和环保知识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（1）安全操作规程与劳动保护知识。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（2）消防安全知识。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（3）安全用电知识。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（4）应急急救知识。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（5）节能减排知识。 </w:t>
      </w:r>
    </w:p>
    <w:p>
      <w:pPr>
        <w:widowControl/>
        <w:spacing w:line="360" w:lineRule="auto"/>
        <w:jc w:val="left"/>
        <w:rPr>
          <w:rFonts w:ascii="黑体" w:hAnsi="宋体" w:eastAsia="黑体" w:cs="黑体"/>
          <w:color w:val="000000"/>
          <w:kern w:val="0"/>
          <w:sz w:val="24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lang w:bidi="ar"/>
        </w:rPr>
        <w:t xml:space="preserve">2.2.6 质量管理知识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（1）质量管理的基础知识。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（2）质量管理体系对设备设施管理的基本要求。 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lang w:bidi="ar"/>
        </w:rPr>
        <w:t xml:space="preserve">2.2.7 相关法律、法规知识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（1）《中华人民共和国劳动法》相关知识。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（2）《中华人民共和国安全生产法》相关知识。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（3）《中华人民共和国环境保护法》相关知识。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>（4）《中华人民共和国劳动合同法》相关知识。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>（5）《中华人民共和国消防法》相关知识。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>（6）《中华人民共和国建筑法》相关知识。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lang w:bidi="ar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>（7）《安全生产事故报告和调查处理条例》相关知识。</w:t>
      </w:r>
    </w:p>
    <w:p>
      <w:pPr>
        <w:widowControl/>
        <w:spacing w:line="360" w:lineRule="auto"/>
        <w:jc w:val="left"/>
        <w:rPr>
          <w:rFonts w:ascii="黑体" w:hAnsi="宋体" w:eastAsia="黑体" w:cs="黑体"/>
          <w:color w:val="000000"/>
          <w:kern w:val="0"/>
          <w:sz w:val="24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lang w:bidi="ar"/>
        </w:rPr>
        <w:t>3. 工作要求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>本标准对四级/中级工、三级/高级工、二级/技师、一级/高级技师的技能要求和相关知识要求依次递进，高级别涵盖低级别的要求。</w:t>
      </w:r>
    </w:p>
    <w:p>
      <w:pPr>
        <w:widowControl/>
        <w:spacing w:line="360" w:lineRule="auto"/>
        <w:jc w:val="left"/>
        <w:rPr>
          <w:rFonts w:ascii="黑体" w:hAnsi="宋体" w:eastAsia="黑体" w:cs="黑体"/>
          <w:color w:val="000000"/>
          <w:kern w:val="0"/>
          <w:sz w:val="24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lang w:bidi="ar"/>
        </w:rPr>
        <w:t>3.1四级/中级工</w:t>
      </w:r>
    </w:p>
    <w:tbl>
      <w:tblPr>
        <w:tblStyle w:val="12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278"/>
        <w:gridCol w:w="3082"/>
        <w:gridCol w:w="3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职业功能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工作内容</w:t>
            </w:r>
          </w:p>
        </w:tc>
        <w:tc>
          <w:tcPr>
            <w:tcW w:w="308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技能要求</w:t>
            </w:r>
          </w:p>
        </w:tc>
        <w:tc>
          <w:tcPr>
            <w:tcW w:w="32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相关知识要求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Merge w:val="restart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运行管理</w:t>
            </w:r>
          </w:p>
        </w:tc>
        <w:tc>
          <w:tcPr>
            <w:tcW w:w="1278" w:type="dxa"/>
          </w:tcPr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1.1 监控与运行</w:t>
            </w:r>
          </w:p>
        </w:tc>
        <w:tc>
          <w:tcPr>
            <w:tcW w:w="3082" w:type="dxa"/>
          </w:tcPr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1.1.1 能完成监控中心运行和值班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1.1.2 能判断消防系统、监控与报警系统、环境与设备监控系统、通信系统、门禁系统的报警状态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1.1.3 能分析空气质量检测数据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1.1.4 能核查和登记出入管廊的人员、设备</w:t>
            </w:r>
          </w:p>
        </w:tc>
        <w:tc>
          <w:tcPr>
            <w:tcW w:w="3222" w:type="dxa"/>
          </w:tcPr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1.1.1 监控的内容、方法及运行要求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1.1.2 监控报警信号状态管控要求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1.1.3 空气质量标准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1.1.4 管廊出入管理要求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Merge w:val="continue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278" w:type="dxa"/>
          </w:tcPr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1.2 运行记录与分析</w:t>
            </w:r>
          </w:p>
        </w:tc>
        <w:tc>
          <w:tcPr>
            <w:tcW w:w="3082" w:type="dxa"/>
          </w:tcPr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1.2.1 能填写监控系统运行记录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1.2.2 能填写值班工作日志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1.2.3 能编制运行报表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1.2.4 能抄录计量数值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1.2.5 能计算水、电、热能源数据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1.2.6 能分析能源数据</w:t>
            </w:r>
          </w:p>
        </w:tc>
        <w:tc>
          <w:tcPr>
            <w:tcW w:w="3222" w:type="dxa"/>
          </w:tcPr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1.2.1 监控运行记录填写内容及要求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1.2.2 值班工作日志填写内容及要求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1.2.3 运行报表内容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1.2.4 常用测量仪表识读方法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1.2.5 能源数据计算方法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1.2.6 能源数据分析方法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4" w:type="dxa"/>
            <w:vMerge w:val="continue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278" w:type="dxa"/>
          </w:tcPr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1.3作业管理</w:t>
            </w:r>
          </w:p>
        </w:tc>
        <w:tc>
          <w:tcPr>
            <w:tcW w:w="3082" w:type="dxa"/>
          </w:tcPr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1.3.1 能办理入廊手续、管理入廊材料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1.3.2 能监管入廊作业过程中用电、动火状态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1.3.3 能完成入廊作业验收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1.3.4 能监管、检查入廊作业过程的安全</w:t>
            </w:r>
          </w:p>
        </w:tc>
        <w:tc>
          <w:tcPr>
            <w:tcW w:w="3222" w:type="dxa"/>
          </w:tcPr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1.3.1 入廊手续办理程序、要求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1.3.2 用电、动火作业管理规定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1.3.3 入廊作业验收标准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1.3.4 入廊作业管理规定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Merge w:val="continue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278" w:type="dxa"/>
          </w:tcPr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1.4管线巡检</w:t>
            </w:r>
          </w:p>
        </w:tc>
        <w:tc>
          <w:tcPr>
            <w:tcW w:w="3082" w:type="dxa"/>
          </w:tcPr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1.4.1 能巡检入廊管线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1.4.2 能发现入廊管线的异常情况</w:t>
            </w:r>
          </w:p>
        </w:tc>
        <w:tc>
          <w:tcPr>
            <w:tcW w:w="3222" w:type="dxa"/>
          </w:tcPr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1.4.1 入廊管线巡检内容及方法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1.4.2 入廊管线检查、监测标准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Merge w:val="continue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278" w:type="dxa"/>
          </w:tcPr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1.5管廊本体巡检</w:t>
            </w:r>
          </w:p>
        </w:tc>
        <w:tc>
          <w:tcPr>
            <w:tcW w:w="3082" w:type="dxa"/>
          </w:tcPr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1.5.1 能发现管廊主体沉降、裂缝、渗水等异常情况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1.5.2 能巡检管廊安全保护区域和安全控制区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1.5.3 能巡检管廊井盖、盖板、支架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1.5.4 能巡检出线管孔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1.5.5 能巡检工井结构、井内设施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1.5.6 能巡检人员出入口、吊装口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1.5.7 能填写巡检记录表</w:t>
            </w:r>
          </w:p>
        </w:tc>
        <w:tc>
          <w:tcPr>
            <w:tcW w:w="3222" w:type="dxa"/>
          </w:tcPr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1.5.1 管廊主体结构模式、施工原理及日常检查判断标准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1.5.2 管廊安全保护区域和安全控制区检查标准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1.5.3 井盖、盖板、支架检查标准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1.5.4 出线管孔检查标准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1.5.5 工井结构、井内设施检查标准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1.5.6 人员出入口、吊装口检查标准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1.5.7 巡检记录表填写内容及要求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Merge w:val="continue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278" w:type="dxa"/>
          </w:tcPr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1.6设备巡检</w:t>
            </w:r>
          </w:p>
        </w:tc>
        <w:tc>
          <w:tcPr>
            <w:tcW w:w="3082" w:type="dxa"/>
          </w:tcPr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1.6.1 能巡检供电设备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1.6.2 能巡检照明系统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1.6.3 能巡检通风系统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1.6.4 能巡检给排水系统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1.6.5 能巡检消防系统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1.6.6 能巡检监控与报警系统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1.6.7 能巡检环境与设备监控系统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1.6.8 能巡检通信系统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1.6.9 能巡检门禁系统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1.6.10 能巡检标识系统</w:t>
            </w:r>
          </w:p>
        </w:tc>
        <w:tc>
          <w:tcPr>
            <w:tcW w:w="3222" w:type="dxa"/>
          </w:tcPr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1.6.1 供电设备常用知识、电工工器具使用方法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1.6.2 照明系统工作要求</w:t>
            </w:r>
          </w:p>
          <w:p>
            <w:pPr>
              <w:ind w:firstLine="163" w:firstLineChars="78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1.6.3 通风系统工作原理</w:t>
            </w:r>
          </w:p>
          <w:p>
            <w:pPr>
              <w:ind w:firstLine="163" w:firstLineChars="78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1.6.4 给排水系统工作原理</w:t>
            </w:r>
          </w:p>
          <w:p>
            <w:pPr>
              <w:ind w:firstLine="163" w:firstLineChars="78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1.6.5 消防系统工作原理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1.6.6 监控与报警系统技术要求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1.6.7 环境与设备监控系统技术要求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1.6.8 通信系统技术要求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1.6.9 门禁系统技术要求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1.6.10标识系统使用规范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4" w:type="dxa"/>
            <w:vMerge w:val="restart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</w:t>
            </w:r>
          </w:p>
          <w:p>
            <w:pPr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设备设施维修维护</w:t>
            </w:r>
          </w:p>
        </w:tc>
        <w:tc>
          <w:tcPr>
            <w:tcW w:w="1278" w:type="dxa"/>
          </w:tcPr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2.1 管廊本体维护</w:t>
            </w:r>
          </w:p>
        </w:tc>
        <w:tc>
          <w:tcPr>
            <w:tcW w:w="3082" w:type="dxa"/>
          </w:tcPr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2.1.1 能维护管廊主体结构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2.1.2 能维护支架、桥架构件及连接件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2.1.3 能维护井盖、盖板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2.1.4 能维护出线管孔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2.1.5 能维护工井结构、井内设施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2.1.6 能维护人员出入口、吊装口</w:t>
            </w:r>
          </w:p>
        </w:tc>
        <w:tc>
          <w:tcPr>
            <w:tcW w:w="3222" w:type="dxa"/>
          </w:tcPr>
          <w:p>
            <w:pPr>
              <w:ind w:firstLine="163" w:firstLineChars="78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2.1.1 管廊主体基本维护标准</w:t>
            </w:r>
          </w:p>
          <w:p>
            <w:pPr>
              <w:ind w:firstLine="163" w:firstLineChars="78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2.1.2 支架、桥架构件及连接件维护标准</w:t>
            </w:r>
          </w:p>
          <w:p>
            <w:pPr>
              <w:ind w:firstLine="163" w:firstLineChars="78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2.1.3 井盖、盖板维护标准</w:t>
            </w:r>
          </w:p>
          <w:p>
            <w:pPr>
              <w:ind w:firstLine="163" w:firstLineChars="78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2.1.4 出线管孔维护标准</w:t>
            </w:r>
          </w:p>
          <w:p>
            <w:pPr>
              <w:ind w:firstLine="163" w:firstLineChars="78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2.1.5 工井结构、井内设施维护标准</w:t>
            </w:r>
          </w:p>
          <w:p>
            <w:pPr>
              <w:ind w:firstLine="163" w:firstLineChars="78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2.1.6 人员出入口、吊装口维护标准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Merge w:val="continue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278" w:type="dxa"/>
          </w:tcPr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2.2 设备维修维护</w:t>
            </w:r>
          </w:p>
        </w:tc>
        <w:tc>
          <w:tcPr>
            <w:tcW w:w="3082" w:type="dxa"/>
          </w:tcPr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2.2.1 能维护供电设备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2.2.2 能维护和维修更换照明系统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2.2.3 能维护和保养通风系统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2.2.4 能维护给排水系统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2.2.5 能维护消防系统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2.2.6 能维护监控与报警系统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2.2.7 能维护环境与设备监控系统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2.2.8 能维护通信系统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2.2.9 能维护门禁系统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2.2.10 能维护标识系统</w:t>
            </w:r>
          </w:p>
        </w:tc>
        <w:tc>
          <w:tcPr>
            <w:tcW w:w="3222" w:type="dxa"/>
          </w:tcPr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2.2.1 供电设备维护规程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2.2.2 照明系统维护规程</w:t>
            </w:r>
          </w:p>
          <w:p>
            <w:pPr>
              <w:ind w:firstLine="163" w:firstLineChars="78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2.2.3 通风系统维护规程</w:t>
            </w:r>
          </w:p>
          <w:p>
            <w:pPr>
              <w:ind w:firstLine="163" w:firstLineChars="78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2.2.4 给排水系统维护规程</w:t>
            </w:r>
          </w:p>
          <w:p>
            <w:pPr>
              <w:ind w:firstLine="163" w:firstLineChars="78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2.2.5 消防系统维护规程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2.2.6 监控与报警系统维护规程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2.2.7 环境与设备监控系统维护规程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2.2.8 通信系统维护规程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2.2.9 门禁系统维护规程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2.2.10 标识系统维护规程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Merge w:val="restart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</w:t>
            </w:r>
          </w:p>
          <w:p>
            <w:pPr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安全管理</w:t>
            </w:r>
          </w:p>
        </w:tc>
        <w:tc>
          <w:tcPr>
            <w:tcW w:w="1278" w:type="dxa"/>
          </w:tcPr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3.1 紧急救护</w:t>
            </w:r>
          </w:p>
        </w:tc>
        <w:tc>
          <w:tcPr>
            <w:tcW w:w="3082" w:type="dxa"/>
          </w:tcPr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3.1.1 能进行常见紧急救护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3.1.2 能运用心肺复苏法进行急救</w:t>
            </w:r>
          </w:p>
        </w:tc>
        <w:tc>
          <w:tcPr>
            <w:tcW w:w="3222" w:type="dxa"/>
          </w:tcPr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3.1.1 常见紧急救护方法及程序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3.1.2 心肺复苏法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Merge w:val="continue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278" w:type="dxa"/>
          </w:tcPr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3.2 安全工器具管理</w:t>
            </w:r>
          </w:p>
        </w:tc>
        <w:tc>
          <w:tcPr>
            <w:tcW w:w="3082" w:type="dxa"/>
          </w:tcPr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3.2.1 能使用安全工器具保障人身安全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3.2.2 能检查、验收安全工器具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3.2.3 能进行安全工器具日常维护</w:t>
            </w:r>
          </w:p>
        </w:tc>
        <w:tc>
          <w:tcPr>
            <w:tcW w:w="3222" w:type="dxa"/>
          </w:tcPr>
          <w:p>
            <w:pPr>
              <w:ind w:firstLine="195" w:firstLineChars="93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3.2.1 安全工器具使用方法</w:t>
            </w:r>
          </w:p>
          <w:p>
            <w:pPr>
              <w:ind w:firstLine="195" w:firstLineChars="93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3.2.2 安全工器具验收、试验规定</w:t>
            </w:r>
          </w:p>
          <w:p>
            <w:pPr>
              <w:ind w:firstLine="195" w:firstLineChars="93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3.2.3 安全工器具日常维护内容和管理要求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714" w:type="dxa"/>
            <w:vMerge w:val="continue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278" w:type="dxa"/>
          </w:tcPr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3.3 环境健康管理</w:t>
            </w:r>
          </w:p>
        </w:tc>
        <w:tc>
          <w:tcPr>
            <w:tcW w:w="3082" w:type="dxa"/>
          </w:tcPr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3.3.1 能使用检测工具进行空气检测，并初步分析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3.3.2 能发现有毒有害气体污染物隐患</w:t>
            </w:r>
          </w:p>
        </w:tc>
        <w:tc>
          <w:tcPr>
            <w:tcW w:w="3222" w:type="dxa"/>
          </w:tcPr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3.3.1 空气检测工具工作原理及使用方法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3.3.2 常见有毒有害气体标准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Merge w:val="continue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278" w:type="dxa"/>
          </w:tcPr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3.4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管廊本体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安全管理</w:t>
            </w:r>
          </w:p>
        </w:tc>
        <w:tc>
          <w:tcPr>
            <w:tcW w:w="3082" w:type="dxa"/>
          </w:tcPr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能检查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管廊本体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结构安全控制区的作业情况</w:t>
            </w:r>
          </w:p>
        </w:tc>
        <w:tc>
          <w:tcPr>
            <w:tcW w:w="3222" w:type="dxa"/>
          </w:tcPr>
          <w:p>
            <w:pPr>
              <w:ind w:firstLine="163" w:firstLineChars="78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安全控制区范围和作业管理办法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Merge w:val="continue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278" w:type="dxa"/>
          </w:tcPr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3.5 作业安全管理</w:t>
            </w:r>
          </w:p>
        </w:tc>
        <w:tc>
          <w:tcPr>
            <w:tcW w:w="3082" w:type="dxa"/>
          </w:tcPr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能监管入廊施工安全</w:t>
            </w:r>
          </w:p>
        </w:tc>
        <w:tc>
          <w:tcPr>
            <w:tcW w:w="3222" w:type="dxa"/>
          </w:tcPr>
          <w:p>
            <w:pPr>
              <w:ind w:firstLine="163" w:firstLineChars="78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入廊施工安全规定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Merge w:val="continue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278" w:type="dxa"/>
          </w:tcPr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3.6应急管理</w:t>
            </w:r>
          </w:p>
        </w:tc>
        <w:tc>
          <w:tcPr>
            <w:tcW w:w="3082" w:type="dxa"/>
          </w:tcPr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3.6.1 能完成应急预案演练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3.6.2 能发现并按处置程序上报管廊应急事件</w:t>
            </w:r>
          </w:p>
          <w:p>
            <w:pPr>
              <w:ind w:firstLine="163" w:firstLineChars="78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3.6.3 能使用应急物资</w:t>
            </w:r>
          </w:p>
        </w:tc>
        <w:tc>
          <w:tcPr>
            <w:tcW w:w="3222" w:type="dxa"/>
          </w:tcPr>
          <w:p>
            <w:pPr>
              <w:ind w:firstLine="163" w:firstLineChars="78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3.6.1 应急预案内容及规定</w:t>
            </w:r>
          </w:p>
          <w:p>
            <w:pPr>
              <w:ind w:firstLine="163" w:firstLineChars="78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3.6.2 应急事件处置程序</w:t>
            </w:r>
          </w:p>
          <w:p>
            <w:pPr>
              <w:ind w:firstLine="163" w:firstLineChars="78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3.6.3 应急物资使用方法</w:t>
            </w:r>
          </w:p>
        </w:tc>
      </w:tr>
    </w:tbl>
    <w:p>
      <w:pPr>
        <w:widowControl/>
        <w:spacing w:line="360" w:lineRule="auto"/>
        <w:jc w:val="left"/>
        <w:rPr>
          <w:rFonts w:ascii="黑体" w:hAnsi="宋体" w:eastAsia="黑体" w:cs="黑体"/>
          <w:color w:val="000000"/>
          <w:kern w:val="0"/>
          <w:sz w:val="24"/>
          <w:lang w:bidi="ar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widowControl/>
        <w:spacing w:line="360" w:lineRule="auto"/>
        <w:jc w:val="left"/>
        <w:rPr>
          <w:rFonts w:ascii="黑体" w:hAnsi="宋体" w:eastAsia="黑体" w:cs="黑体"/>
          <w:color w:val="000000"/>
          <w:kern w:val="0"/>
          <w:sz w:val="24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lang w:bidi="ar"/>
        </w:rPr>
        <w:t>3.2三级/高级工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289"/>
        <w:gridCol w:w="3187"/>
        <w:gridCol w:w="3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职业功能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工作内容</w:t>
            </w:r>
          </w:p>
        </w:tc>
        <w:tc>
          <w:tcPr>
            <w:tcW w:w="318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技能要求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相关知识要求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restart"/>
          </w:tcPr>
          <w:p>
            <w:pPr>
              <w:numPr>
                <w:ilvl w:val="0"/>
                <w:numId w:val="3"/>
              </w:numPr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运行管理</w:t>
            </w:r>
          </w:p>
        </w:tc>
        <w:tc>
          <w:tcPr>
            <w:tcW w:w="1289" w:type="dxa"/>
          </w:tcPr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1.1 监控与运行</w:t>
            </w:r>
          </w:p>
        </w:tc>
        <w:tc>
          <w:tcPr>
            <w:tcW w:w="3187" w:type="dxa"/>
          </w:tcPr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1.1.1 能维护控制中心各系统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1.1.2 能处理监控报警信号异常状况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1.1.3 能处理空气质量异常状况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1.1.4 能处理控制中心消防系统、监控与报警系统、环境与设备监控系统、通信系统、门禁系统等的简单故障</w:t>
            </w:r>
          </w:p>
        </w:tc>
        <w:tc>
          <w:tcPr>
            <w:tcW w:w="3305" w:type="dxa"/>
          </w:tcPr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1.1.1 控制中心各系统维护规程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1.1.2 监控报警信号异常处理方法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1.1.3 空气质量异常处理方法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1.1.4 消防系统、监控与报警系统、环境与设备监控系统、通信系统、门禁系统故障原因及处理方法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89" w:type="dxa"/>
          </w:tcPr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1.2 运行记录与分析</w:t>
            </w:r>
          </w:p>
        </w:tc>
        <w:tc>
          <w:tcPr>
            <w:tcW w:w="3187" w:type="dxa"/>
          </w:tcPr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1.2.1 能汇总监控系统运行记录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1.2.2 能分析运行报表，统计故障数据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1.2.3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能诊断、分析能源数据</w:t>
            </w:r>
          </w:p>
        </w:tc>
        <w:tc>
          <w:tcPr>
            <w:tcW w:w="3305" w:type="dxa"/>
          </w:tcPr>
          <w:p>
            <w:pPr>
              <w:ind w:firstLine="149" w:firstLineChars="71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1.2.1 运行数据编制方法</w:t>
            </w:r>
          </w:p>
          <w:p>
            <w:pPr>
              <w:ind w:firstLine="149" w:firstLineChars="71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1.2.2 运行状况分析方法</w:t>
            </w:r>
          </w:p>
          <w:p>
            <w:pPr>
              <w:ind w:firstLine="149" w:firstLineChars="71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1.2.3 能源数据分析方法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1" w:type="dxa"/>
            <w:vMerge w:val="continue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89" w:type="dxa"/>
          </w:tcPr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1.3 作业管理</w:t>
            </w:r>
          </w:p>
        </w:tc>
        <w:tc>
          <w:tcPr>
            <w:tcW w:w="3187" w:type="dxa"/>
          </w:tcPr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1.3.1 能组织入廊施工，进行安全交底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1.3.2 能实施入廊管线施工监管</w:t>
            </w:r>
          </w:p>
        </w:tc>
        <w:tc>
          <w:tcPr>
            <w:tcW w:w="3305" w:type="dxa"/>
          </w:tcPr>
          <w:p>
            <w:pPr>
              <w:ind w:firstLine="149" w:firstLineChars="71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1.3.1 入廊施工安全事项、要求</w:t>
            </w:r>
          </w:p>
          <w:p>
            <w:pPr>
              <w:ind w:firstLine="149" w:firstLineChars="71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1.3.2 入廊管线施工作业标准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1" w:type="dxa"/>
            <w:vMerge w:val="continue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89" w:type="dxa"/>
          </w:tcPr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1.4 管线巡检</w:t>
            </w:r>
          </w:p>
        </w:tc>
        <w:tc>
          <w:tcPr>
            <w:tcW w:w="3187" w:type="dxa"/>
          </w:tcPr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1.4.1 能判断入廊管线的异常状况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1.4.2 能处置入廊管线异常</w:t>
            </w:r>
          </w:p>
        </w:tc>
        <w:tc>
          <w:tcPr>
            <w:tcW w:w="3305" w:type="dxa"/>
          </w:tcPr>
          <w:p>
            <w:pPr>
              <w:ind w:firstLine="149" w:firstLineChars="71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1.4.1 入廊管线正常运行状态</w:t>
            </w:r>
          </w:p>
          <w:p>
            <w:pPr>
              <w:ind w:firstLine="149" w:firstLineChars="71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1.4.2 入廊管线异常处置方法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1" w:type="dxa"/>
            <w:vMerge w:val="continue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89" w:type="dxa"/>
          </w:tcPr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1.5 管廊本体巡检</w:t>
            </w:r>
          </w:p>
        </w:tc>
        <w:tc>
          <w:tcPr>
            <w:tcW w:w="3187" w:type="dxa"/>
          </w:tcPr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1.5.1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能分析管廊主体沉降、裂缝、渗水等异常情况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1.5.2 能判断管廊安全保护区域和安全控制区的作业状况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1.5.3 能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诊断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井盖、盖板的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异常情况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1.5.4 能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诊断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出线管孔的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异常情况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1.5.5 能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诊断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工井结构及井内配件的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异常情况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1.5.6 能诊断人员出入口、吊装口异常情况</w:t>
            </w:r>
          </w:p>
        </w:tc>
        <w:tc>
          <w:tcPr>
            <w:tcW w:w="3305" w:type="dxa"/>
          </w:tcPr>
          <w:p>
            <w:pPr>
              <w:ind w:firstLine="149" w:firstLineChars="71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1.5.1 管廊主体沉降、裂缝、渗水标准及各类异常问题判断与分析方法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1.5.2 管廊安全保护区域和安全控制区可作业内容、要求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1.5.3 井盖、盖板异常判断与分析方法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1.5.4 出线管孔异常判断与分析方法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1.5.5 工井结构及井内配件异常判断与分析方法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1.5.6 人员出入口、吊装口异常判断与分析方法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1" w:type="dxa"/>
            <w:vMerge w:val="continue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89" w:type="dxa"/>
          </w:tcPr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1.6 设备巡检</w:t>
            </w:r>
          </w:p>
        </w:tc>
        <w:tc>
          <w:tcPr>
            <w:tcW w:w="3187" w:type="dxa"/>
          </w:tcPr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1.6.1 能诊断供电设备故障原因并分析情况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1.6.2 能诊断照明系统故障原因并分析情况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1.6.3 能诊断通风系统故障原因并分析情况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1.6.4 能诊断给排水系统故障原因并分析情况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1.6.5 能诊断消防系统故障原因并分析情况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1.6.6 能诊断监控与报警系统故障原因并分析情况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1.6.7 能诊断环境与设备监控系统故障原因并分析情况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1.6.8 能诊断通信系统故障原因并分析情况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1.6.9 能诊断门禁系统故障原因并分析情况</w:t>
            </w:r>
          </w:p>
        </w:tc>
        <w:tc>
          <w:tcPr>
            <w:tcW w:w="3305" w:type="dxa"/>
          </w:tcPr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1.6.1 变压器、电力系统及关键设备的技术标准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1.6.2 照明设计标准、工作原理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1.6.3 通风系统故障原因及关键设备技术标准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1.6.4 给排水系统故障原因及关键设备技术标准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1.6.5 消防系统故障原因及关键设备技术标准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1.6.6 监控与报警系统故障原因及关键设备技术标准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1.6.7 环境与设备监控系统故障原因及关键设备技术标准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1.6.8 通信系统故障原因及关键设备技术标准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1.6.9 门禁系统故障原因及关键设备技术标准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1" w:type="dxa"/>
            <w:vMerge w:val="restart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设备设施维修维护</w:t>
            </w:r>
          </w:p>
        </w:tc>
        <w:tc>
          <w:tcPr>
            <w:tcW w:w="1289" w:type="dxa"/>
          </w:tcPr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2.1 管廊本体维护</w:t>
            </w:r>
          </w:p>
        </w:tc>
        <w:tc>
          <w:tcPr>
            <w:tcW w:w="3187" w:type="dxa"/>
          </w:tcPr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2.1.1 能实施构筑物大中修过程监管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2.1.2 能使用工具测量构筑物观测点沉降、位移、碳化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2.1.3 能实施管廊主体维护方案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2.1.4 能实施支架、桥架构件维护计划方案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2.1.5 能分析构筑物沉降异常情况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2.1.6 能处理出线管孔异常情况</w:t>
            </w:r>
          </w:p>
        </w:tc>
        <w:tc>
          <w:tcPr>
            <w:tcW w:w="3305" w:type="dxa"/>
          </w:tcPr>
          <w:p>
            <w:pPr>
              <w:ind w:firstLine="149" w:firstLineChars="71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2.1.1 构筑物大中修要求</w:t>
            </w:r>
          </w:p>
          <w:p>
            <w:pPr>
              <w:ind w:firstLine="149" w:firstLineChars="71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2.1.2 构筑物沉降、位移、碳化测量方法</w:t>
            </w:r>
          </w:p>
          <w:p>
            <w:pPr>
              <w:ind w:firstLine="149" w:firstLineChars="71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2.1.3 管廊主体维护标准和要求</w:t>
            </w:r>
          </w:p>
          <w:p>
            <w:pPr>
              <w:ind w:firstLine="149" w:firstLineChars="71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2.1.4 支架、桥架构件维护标准、程序和操作要求</w:t>
            </w:r>
          </w:p>
          <w:p>
            <w:pPr>
              <w:ind w:firstLine="149" w:firstLineChars="71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2.1.5 构筑物沉降原因及常规处理方法</w:t>
            </w:r>
          </w:p>
          <w:p>
            <w:pPr>
              <w:ind w:firstLine="149" w:firstLineChars="71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2.1.6 出线孔异常判断标准和处理方法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</w:p>
        </w:tc>
        <w:tc>
          <w:tcPr>
            <w:tcW w:w="1289" w:type="dxa"/>
          </w:tcPr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 设备维修维护</w:t>
            </w:r>
          </w:p>
        </w:tc>
        <w:tc>
          <w:tcPr>
            <w:tcW w:w="3187" w:type="dxa"/>
          </w:tcPr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2.2.1 能分析供电设备异常情况并维修</w:t>
            </w:r>
          </w:p>
          <w:p>
            <w:pPr>
              <w:ind w:left="158" w:leftChars="75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2.2.2 能维修应急照明系统</w:t>
            </w:r>
          </w:p>
          <w:p>
            <w:pPr>
              <w:ind w:left="17" w:leftChars="8" w:firstLine="140" w:firstLineChars="6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2.2.3 能维修通风系统故障设备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2.2.4 能维修给排水系统故障设备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2.2.5 能测试及维修消防系统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2.2.6 能测试及维修监控与报警系统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2.2.7 能测试及维修环境与设备监控系统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2.2.8 能测试及维修通信系统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2.2.9 能测试及维修门禁系统</w:t>
            </w:r>
          </w:p>
        </w:tc>
        <w:tc>
          <w:tcPr>
            <w:tcW w:w="3305" w:type="dxa"/>
          </w:tcPr>
          <w:p>
            <w:pPr>
              <w:ind w:firstLine="149" w:firstLineChars="71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2.2.1 变压器、电力系统及关键设备技术内容，基本故障维修方法</w:t>
            </w:r>
          </w:p>
          <w:p>
            <w:pPr>
              <w:ind w:firstLine="149" w:firstLineChars="71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2.2.2 应急照明系统维护、检修方法</w:t>
            </w:r>
          </w:p>
          <w:p>
            <w:pPr>
              <w:ind w:firstLine="149" w:firstLineChars="71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2.2.3 通风系统运行原理及故障维修方法</w:t>
            </w:r>
          </w:p>
          <w:p>
            <w:pPr>
              <w:ind w:firstLine="149" w:firstLineChars="71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2.2.4 给排水系统运行原理及故障维修方法</w:t>
            </w:r>
          </w:p>
          <w:p>
            <w:pPr>
              <w:ind w:firstLine="149" w:firstLineChars="71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2.2.5 消防系统测试及故障维修方法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2.2.6 监控与报警系统的测试及故障维修方法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2.2.7 环境与设备监控系统测试及故障维修方法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2.2.8 通信系统测试及故障维修方法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2.2.9 门禁系统测试及故障维修方法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restart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安全管理</w:t>
            </w:r>
          </w:p>
        </w:tc>
        <w:tc>
          <w:tcPr>
            <w:tcW w:w="1289" w:type="dxa"/>
          </w:tcPr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3.1 紧急救护</w:t>
            </w:r>
          </w:p>
        </w:tc>
        <w:tc>
          <w:tcPr>
            <w:tcW w:w="3187" w:type="dxa"/>
          </w:tcPr>
          <w:p>
            <w:pPr>
              <w:ind w:firstLine="149" w:firstLineChars="71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能对廊内可能发生的人身意外进行急救</w:t>
            </w:r>
          </w:p>
        </w:tc>
        <w:tc>
          <w:tcPr>
            <w:tcW w:w="3305" w:type="dxa"/>
            <w:vAlign w:val="center"/>
          </w:tcPr>
          <w:p>
            <w:pPr>
              <w:ind w:firstLine="149" w:firstLineChars="71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触电、坍塌、机械伤害、突发公共卫生事件自救和救助他人的方法以及应急机制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</w:p>
        </w:tc>
        <w:tc>
          <w:tcPr>
            <w:tcW w:w="1289" w:type="dxa"/>
          </w:tcPr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3.2 安全工器具管理</w:t>
            </w:r>
          </w:p>
        </w:tc>
        <w:tc>
          <w:tcPr>
            <w:tcW w:w="3187" w:type="dxa"/>
          </w:tcPr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能规范性管理安全工器具</w:t>
            </w:r>
          </w:p>
        </w:tc>
        <w:tc>
          <w:tcPr>
            <w:tcW w:w="3305" w:type="dxa"/>
          </w:tcPr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安全工器具定期维护规范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1" w:type="dxa"/>
            <w:vMerge w:val="continue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</w:p>
        </w:tc>
        <w:tc>
          <w:tcPr>
            <w:tcW w:w="1289" w:type="dxa"/>
          </w:tcPr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3.3 环境健康管理</w:t>
            </w:r>
          </w:p>
        </w:tc>
        <w:tc>
          <w:tcPr>
            <w:tcW w:w="3187" w:type="dxa"/>
          </w:tcPr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能实施管廊日常消杀</w:t>
            </w:r>
          </w:p>
        </w:tc>
        <w:tc>
          <w:tcPr>
            <w:tcW w:w="3305" w:type="dxa"/>
            <w:vAlign w:val="center"/>
          </w:tcPr>
          <w:p>
            <w:pPr>
              <w:ind w:firstLine="149" w:firstLineChars="71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管廊日常消杀内容和操作方法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</w:p>
        </w:tc>
        <w:tc>
          <w:tcPr>
            <w:tcW w:w="1289" w:type="dxa"/>
          </w:tcPr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3.4 管廊本体安全管理</w:t>
            </w:r>
          </w:p>
        </w:tc>
        <w:tc>
          <w:tcPr>
            <w:tcW w:w="3187" w:type="dxa"/>
          </w:tcPr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3.4.1 能监管主体结构安全保护区域和安全控制区的作业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3.4.2 能实施构筑物附属构件维修</w:t>
            </w:r>
          </w:p>
        </w:tc>
        <w:tc>
          <w:tcPr>
            <w:tcW w:w="3305" w:type="dxa"/>
          </w:tcPr>
          <w:p>
            <w:pPr>
              <w:ind w:firstLine="149" w:firstLineChars="71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3.4.1 管廊主体结构安全控制区域作业规范</w:t>
            </w:r>
          </w:p>
          <w:p>
            <w:pPr>
              <w:ind w:firstLine="149" w:firstLineChars="71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3.4.2 构筑物附属构件维修方法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</w:p>
        </w:tc>
        <w:tc>
          <w:tcPr>
            <w:tcW w:w="1289" w:type="dxa"/>
          </w:tcPr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3.5 作业安全管理</w:t>
            </w:r>
          </w:p>
        </w:tc>
        <w:tc>
          <w:tcPr>
            <w:tcW w:w="3187" w:type="dxa"/>
          </w:tcPr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3.5.1 能组织入廊人员安全管理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3.5.2 能组织入廊施工的安全检查</w:t>
            </w:r>
          </w:p>
        </w:tc>
        <w:tc>
          <w:tcPr>
            <w:tcW w:w="3305" w:type="dxa"/>
          </w:tcPr>
          <w:p>
            <w:pPr>
              <w:ind w:firstLine="149" w:firstLineChars="71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3.5.1 人员入廊要求和程序</w:t>
            </w:r>
          </w:p>
          <w:p>
            <w:pPr>
              <w:ind w:firstLine="149" w:firstLineChars="71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3.5.2 施工安全管理规范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</w:p>
        </w:tc>
        <w:tc>
          <w:tcPr>
            <w:tcW w:w="1289" w:type="dxa"/>
          </w:tcPr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3.6应急管理</w:t>
            </w:r>
          </w:p>
        </w:tc>
        <w:tc>
          <w:tcPr>
            <w:tcW w:w="3187" w:type="dxa"/>
          </w:tcPr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3.6.1能开展应急预案演练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3.6.2能组织管廊应急事件处置工作</w:t>
            </w:r>
          </w:p>
          <w:p>
            <w:pPr>
              <w:ind w:firstLine="149" w:firstLineChars="71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3.6.3能检查、试验应急物资</w:t>
            </w:r>
          </w:p>
        </w:tc>
        <w:tc>
          <w:tcPr>
            <w:tcW w:w="3305" w:type="dxa"/>
            <w:vAlign w:val="center"/>
          </w:tcPr>
          <w:p>
            <w:pPr>
              <w:ind w:firstLine="149" w:firstLineChars="71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3.6.1应急预案程序、物资准备</w:t>
            </w:r>
          </w:p>
          <w:p>
            <w:pPr>
              <w:ind w:firstLine="149" w:firstLineChars="71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3.6.2应急事件处置程序</w:t>
            </w:r>
          </w:p>
          <w:p>
            <w:pPr>
              <w:ind w:firstLine="149" w:firstLineChars="71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3.6.3应急物资需求</w:t>
            </w:r>
          </w:p>
        </w:tc>
      </w:tr>
    </w:tbl>
    <w:p>
      <w:pPr>
        <w:widowControl/>
        <w:spacing w:line="360" w:lineRule="auto"/>
        <w:jc w:val="left"/>
        <w:rPr>
          <w:rFonts w:ascii="黑体" w:hAnsi="宋体" w:eastAsia="黑体" w:cs="黑体"/>
          <w:color w:val="000000"/>
          <w:kern w:val="0"/>
          <w:sz w:val="24"/>
          <w:lang w:bidi="ar"/>
        </w:rPr>
      </w:pPr>
    </w:p>
    <w:p>
      <w:pPr>
        <w:widowControl/>
        <w:spacing w:line="360" w:lineRule="auto"/>
        <w:jc w:val="left"/>
        <w:rPr>
          <w:rFonts w:ascii="黑体" w:hAnsi="宋体" w:eastAsia="黑体" w:cs="黑体"/>
          <w:color w:val="000000"/>
          <w:kern w:val="0"/>
          <w:sz w:val="24"/>
          <w:lang w:bidi="ar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widowControl/>
        <w:spacing w:line="360" w:lineRule="auto"/>
        <w:jc w:val="left"/>
        <w:rPr>
          <w:rFonts w:ascii="黑体" w:hAnsi="宋体" w:eastAsia="黑体" w:cs="黑体"/>
          <w:color w:val="000000"/>
          <w:kern w:val="0"/>
          <w:sz w:val="24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lang w:bidi="ar"/>
        </w:rPr>
        <w:t>3.3二级/技师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237"/>
        <w:gridCol w:w="3217"/>
        <w:gridCol w:w="3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职业功能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工作内容</w:t>
            </w:r>
          </w:p>
        </w:tc>
        <w:tc>
          <w:tcPr>
            <w:tcW w:w="32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技能要求</w:t>
            </w:r>
          </w:p>
        </w:tc>
        <w:tc>
          <w:tcPr>
            <w:tcW w:w="3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相关知识要求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Merge w:val="restart"/>
          </w:tcPr>
          <w:p>
            <w:pPr>
              <w:ind w:firstLine="210" w:firstLineChars="10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运行管理</w:t>
            </w:r>
          </w:p>
        </w:tc>
        <w:tc>
          <w:tcPr>
            <w:tcW w:w="1237" w:type="dxa"/>
          </w:tcPr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1.1 监控与运行</w:t>
            </w:r>
          </w:p>
        </w:tc>
        <w:tc>
          <w:tcPr>
            <w:tcW w:w="3217" w:type="dxa"/>
          </w:tcPr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1.1.1 能分析、测试控制中心系统网络</w:t>
            </w:r>
          </w:p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1.1.2 能维护消防系统、监控与报警系统、环境与设备监控系统、通信系统、门禁系统平台</w:t>
            </w:r>
          </w:p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1.1.3 能备份保存消防系统、监控与报警系统、环境与设备监控系统、通信系统、门禁系统的控制数据</w:t>
            </w:r>
          </w:p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1.1.4 能处理公众投诉</w:t>
            </w:r>
          </w:p>
        </w:tc>
        <w:tc>
          <w:tcPr>
            <w:tcW w:w="3302" w:type="dxa"/>
          </w:tcPr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1.1.1 控制中心控制系统网络构成及原理</w:t>
            </w:r>
          </w:p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1.1.2 消防系统、监控与报警系统、环境与设备监控系统、通信系统、门禁系统平台维护方法</w:t>
            </w:r>
          </w:p>
          <w:p>
            <w:pPr>
              <w:ind w:firstLine="119" w:firstLineChars="57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1.1.3 控制数据备份保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存要求和方法</w:t>
            </w:r>
          </w:p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1.1.4 公众投诉处理方法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6" w:type="dxa"/>
            <w:vMerge w:val="continue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</w:p>
        </w:tc>
        <w:tc>
          <w:tcPr>
            <w:tcW w:w="1237" w:type="dxa"/>
          </w:tcPr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1.2 运行记录与分析</w:t>
            </w:r>
          </w:p>
        </w:tc>
        <w:tc>
          <w:tcPr>
            <w:tcW w:w="3217" w:type="dxa"/>
          </w:tcPr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1.2.1 能根据监控系统运行记录编制运行方案</w:t>
            </w:r>
          </w:p>
          <w:p>
            <w:pPr>
              <w:ind w:firstLine="119" w:firstLineChars="57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1.2.2 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能统筹运行报表、台账保存</w:t>
            </w:r>
          </w:p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1.2.3 能根据数据记录编制能源运行方案</w:t>
            </w:r>
          </w:p>
        </w:tc>
        <w:tc>
          <w:tcPr>
            <w:tcW w:w="3302" w:type="dxa"/>
          </w:tcPr>
          <w:p>
            <w:pPr>
              <w:ind w:firstLine="119" w:firstLineChars="57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1.2.1 监控系统运行数据统计、分析方法与技术</w:t>
            </w:r>
          </w:p>
          <w:p>
            <w:pPr>
              <w:ind w:firstLine="119" w:firstLineChars="57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1.2.2 运行状态信息分类归集建档技术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Merge w:val="continue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</w:p>
        </w:tc>
        <w:tc>
          <w:tcPr>
            <w:tcW w:w="1237" w:type="dxa"/>
          </w:tcPr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1.3 作业管理</w:t>
            </w:r>
          </w:p>
        </w:tc>
        <w:tc>
          <w:tcPr>
            <w:tcW w:w="3217" w:type="dxa"/>
          </w:tcPr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1.3.1 能组织入廊施工安全检查</w:t>
            </w:r>
          </w:p>
          <w:p>
            <w:pPr>
              <w:ind w:firstLine="119" w:firstLineChars="57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1.3.2 能编制作业管理规范并实施</w:t>
            </w:r>
          </w:p>
        </w:tc>
        <w:tc>
          <w:tcPr>
            <w:tcW w:w="3302" w:type="dxa"/>
          </w:tcPr>
          <w:p>
            <w:pPr>
              <w:ind w:firstLine="119" w:firstLineChars="57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1.3.1 入廊施工安全规范</w:t>
            </w:r>
          </w:p>
          <w:p>
            <w:pPr>
              <w:ind w:firstLine="119" w:firstLineChars="57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1.3.2 作业管理规范的编制方法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Merge w:val="continue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</w:p>
        </w:tc>
        <w:tc>
          <w:tcPr>
            <w:tcW w:w="1237" w:type="dxa"/>
          </w:tcPr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1.4 管线管理</w:t>
            </w:r>
          </w:p>
        </w:tc>
        <w:tc>
          <w:tcPr>
            <w:tcW w:w="3217" w:type="dxa"/>
          </w:tcPr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1.4.1 能审核管线施工方案并组织施工监管</w:t>
            </w:r>
          </w:p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1.4.2 能评估管线安全运行情况</w:t>
            </w:r>
          </w:p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1.4.3 能快速处理管线单位投诉问题</w:t>
            </w:r>
          </w:p>
        </w:tc>
        <w:tc>
          <w:tcPr>
            <w:tcW w:w="3302" w:type="dxa"/>
          </w:tcPr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1.4.1管线设计规划</w:t>
            </w:r>
          </w:p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1.4.2 管线的运行安全技术规范</w:t>
            </w:r>
          </w:p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1.4.3 投诉问题分析与处理方法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Merge w:val="restart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设备设施维修维护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2.1 管廊本体维护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2.1.1能组织实施支架、桥架构件维护计划方案，组织人员根据维护计划方案有序开展维护</w:t>
            </w:r>
          </w:p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2.1.2 能根据管廊主体观测方案，组织对观测点沉降、位移、碳化进行测量</w:t>
            </w:r>
          </w:p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2.1.3 能组织实施管廊主体年度维护方案</w:t>
            </w:r>
          </w:p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2.1.4 能组织实施构筑物渗漏治理</w:t>
            </w:r>
          </w:p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2.1.5 能组织实施井盖、盖板、工井结构及井内配件、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出入口、吊装口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的维修</w:t>
            </w:r>
          </w:p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2.1.6 能根据计划组织实施构筑物大中修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19" w:firstLineChars="57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2.1.1 时间管理和项目管理知识</w:t>
            </w:r>
          </w:p>
          <w:p>
            <w:pPr>
              <w:ind w:firstLine="119" w:firstLineChars="57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2.1.2 结构观测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知识、测量方案合理性判断方法、测量人员协调管理要求</w:t>
            </w:r>
          </w:p>
          <w:p>
            <w:pPr>
              <w:ind w:firstLine="119" w:firstLineChars="57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2.1.3 管廊主体维修维护知识和维修维护方法</w:t>
            </w:r>
          </w:p>
          <w:p>
            <w:pPr>
              <w:ind w:firstLine="119" w:firstLineChars="57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2.1.4 构筑物渗漏治理方法</w:t>
            </w:r>
          </w:p>
          <w:p>
            <w:pPr>
              <w:ind w:firstLine="119" w:firstLineChars="57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2.1.5 井盖、盖板、工井结构及井内配件、出入口、吊装口维修维护方法</w:t>
            </w:r>
          </w:p>
          <w:p>
            <w:pPr>
              <w:ind w:firstLine="119" w:firstLineChars="57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2.1.6 项目统筹能力和项目管理程序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Merge w:val="continue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</w:p>
        </w:tc>
        <w:tc>
          <w:tcPr>
            <w:tcW w:w="1237" w:type="dxa"/>
          </w:tcPr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2.2 设备维修维护</w:t>
            </w:r>
          </w:p>
        </w:tc>
        <w:tc>
          <w:tcPr>
            <w:tcW w:w="3217" w:type="dxa"/>
          </w:tcPr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2.2.1 能按计划和方案组织实施供电设备维护及维修</w:t>
            </w:r>
          </w:p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2.2.2 能按计划和方案组织实施照明系统维护及维修</w:t>
            </w:r>
          </w:p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2.2.3 能按计划和方案组织实施通风系统维护及维修</w:t>
            </w:r>
          </w:p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2.2.4 能按计划和方案组织实施给排水系统维护及维修</w:t>
            </w:r>
          </w:p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2.2.5 能按计划和方案组织实施消防系统测试、维护及维修</w:t>
            </w:r>
          </w:p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2.2.6 能按计划和方案组织实施监控与报警系统维护及维修</w:t>
            </w:r>
          </w:p>
        </w:tc>
        <w:tc>
          <w:tcPr>
            <w:tcW w:w="3302" w:type="dxa"/>
            <w:vAlign w:val="center"/>
          </w:tcPr>
          <w:p>
            <w:pPr>
              <w:ind w:firstLine="119" w:firstLineChars="57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2.2.1 供电设备维护和维修要求、作业标准</w:t>
            </w:r>
          </w:p>
          <w:p>
            <w:pPr>
              <w:ind w:firstLine="119" w:firstLineChars="57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2.2.2 照明系统维护和维修要求、作业标准</w:t>
            </w:r>
          </w:p>
          <w:p>
            <w:pPr>
              <w:ind w:firstLine="119" w:firstLineChars="57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2.2.3 通风系统维护和维修要求、作业标准</w:t>
            </w:r>
          </w:p>
          <w:p>
            <w:pPr>
              <w:ind w:firstLine="119" w:firstLineChars="57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2.2.4给排水系统维护和维修要求、作业标准</w:t>
            </w:r>
          </w:p>
          <w:p>
            <w:pPr>
              <w:ind w:firstLine="119" w:firstLineChars="57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2.2.5消防系统维护和维修要求、作业标准</w:t>
            </w:r>
          </w:p>
          <w:p>
            <w:pPr>
              <w:ind w:firstLine="119" w:firstLineChars="57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2.2.6 监控与报警系统维护和维修要求、作业标准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Merge w:val="restart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安全管理</w:t>
            </w:r>
          </w:p>
        </w:tc>
        <w:tc>
          <w:tcPr>
            <w:tcW w:w="1237" w:type="dxa"/>
          </w:tcPr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3.1 紧急救护</w:t>
            </w:r>
          </w:p>
        </w:tc>
        <w:tc>
          <w:tcPr>
            <w:tcW w:w="3217" w:type="dxa"/>
          </w:tcPr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3.1.1 能组织紧急救护培训</w:t>
            </w:r>
          </w:p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3.1.2 能组织紧急救护预案培训</w:t>
            </w:r>
          </w:p>
        </w:tc>
        <w:tc>
          <w:tcPr>
            <w:tcW w:w="3302" w:type="dxa"/>
            <w:vAlign w:val="center"/>
          </w:tcPr>
          <w:p>
            <w:pPr>
              <w:ind w:firstLine="119" w:firstLineChars="57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3.1.1 紧急救护的内容和方法</w:t>
            </w:r>
          </w:p>
          <w:p>
            <w:pPr>
              <w:ind w:firstLine="119" w:firstLineChars="57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3.1.2 紧急救护预案的内容和培训方法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Merge w:val="continue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</w:p>
        </w:tc>
        <w:tc>
          <w:tcPr>
            <w:tcW w:w="1237" w:type="dxa"/>
          </w:tcPr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3.2 安全工器具管理</w:t>
            </w:r>
          </w:p>
        </w:tc>
        <w:tc>
          <w:tcPr>
            <w:tcW w:w="3217" w:type="dxa"/>
          </w:tcPr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能编制安全工器具投入计划</w:t>
            </w:r>
          </w:p>
        </w:tc>
        <w:tc>
          <w:tcPr>
            <w:tcW w:w="3302" w:type="dxa"/>
          </w:tcPr>
          <w:p>
            <w:pPr>
              <w:ind w:firstLine="119" w:firstLineChars="57"/>
              <w:rPr>
                <w:rFonts w:ascii="宋体" w:hAnsi="宋体" w:cs="宋体"/>
                <w:kern w:val="0"/>
                <w:szCs w:val="21"/>
                <w:highlight w:val="red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安全工器具的投入要求和使用规定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Merge w:val="continue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</w:p>
        </w:tc>
        <w:tc>
          <w:tcPr>
            <w:tcW w:w="1237" w:type="dxa"/>
          </w:tcPr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3.3 环境健康管理</w:t>
            </w:r>
          </w:p>
        </w:tc>
        <w:tc>
          <w:tcPr>
            <w:tcW w:w="3217" w:type="dxa"/>
          </w:tcPr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能编制管廊日常消杀控制方案</w:t>
            </w:r>
          </w:p>
        </w:tc>
        <w:tc>
          <w:tcPr>
            <w:tcW w:w="3302" w:type="dxa"/>
          </w:tcPr>
          <w:p>
            <w:pPr>
              <w:ind w:firstLine="119" w:firstLineChars="57"/>
              <w:rPr>
                <w:rFonts w:ascii="宋体" w:hAnsi="宋体" w:cs="宋体"/>
                <w:kern w:val="0"/>
                <w:szCs w:val="21"/>
                <w:highlight w:val="red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管廊日常消杀程序、操作规范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Merge w:val="continue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</w:p>
        </w:tc>
        <w:tc>
          <w:tcPr>
            <w:tcW w:w="1237" w:type="dxa"/>
          </w:tcPr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3.4 管廊本体安全管理</w:t>
            </w:r>
          </w:p>
        </w:tc>
        <w:tc>
          <w:tcPr>
            <w:tcW w:w="3217" w:type="dxa"/>
          </w:tcPr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能组织对构筑物安全保护区域和安全控制区的作业进行监管、巡检</w:t>
            </w:r>
          </w:p>
        </w:tc>
        <w:tc>
          <w:tcPr>
            <w:tcW w:w="3302" w:type="dxa"/>
          </w:tcPr>
          <w:p>
            <w:pPr>
              <w:ind w:firstLine="119" w:firstLineChars="57"/>
              <w:rPr>
                <w:rFonts w:ascii="宋体" w:hAnsi="宋体" w:cs="宋体"/>
                <w:kern w:val="0"/>
                <w:szCs w:val="21"/>
                <w:highlight w:val="red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管廊本体安全控制区作业内容及监督重点内容与管理要求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Merge w:val="continue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</w:p>
        </w:tc>
        <w:tc>
          <w:tcPr>
            <w:tcW w:w="1237" w:type="dxa"/>
          </w:tcPr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3.5 作业安全管理</w:t>
            </w:r>
          </w:p>
        </w:tc>
        <w:tc>
          <w:tcPr>
            <w:tcW w:w="3217" w:type="dxa"/>
          </w:tcPr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能组织落实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管廊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入廊施工安全措施</w:t>
            </w:r>
          </w:p>
        </w:tc>
        <w:tc>
          <w:tcPr>
            <w:tcW w:w="3302" w:type="dxa"/>
          </w:tcPr>
          <w:p>
            <w:pPr>
              <w:ind w:firstLine="119" w:firstLineChars="57"/>
              <w:rPr>
                <w:rFonts w:ascii="宋体" w:hAnsi="宋体" w:cs="宋体"/>
                <w:kern w:val="0"/>
                <w:szCs w:val="21"/>
                <w:highlight w:val="red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管廊入廊施工管理规定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Merge w:val="continue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</w:p>
        </w:tc>
        <w:tc>
          <w:tcPr>
            <w:tcW w:w="1237" w:type="dxa"/>
          </w:tcPr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3.6 应急预案管理</w:t>
            </w:r>
          </w:p>
        </w:tc>
        <w:tc>
          <w:tcPr>
            <w:tcW w:w="3217" w:type="dxa"/>
          </w:tcPr>
          <w:p>
            <w:pPr>
              <w:ind w:firstLine="119" w:firstLineChars="57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3.6.1 能实施启动项目应急组织体系</w:t>
            </w:r>
          </w:p>
          <w:p>
            <w:pPr>
              <w:ind w:firstLine="119" w:firstLineChars="57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3.6.2 能实施启动管廊防台风、防汛、防火、防破坏、防触电、施工事故、管线事故、地震、塌方等专项应急预案</w:t>
            </w:r>
          </w:p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3.6.3 能实施启动应急预案演练方案</w:t>
            </w:r>
          </w:p>
        </w:tc>
        <w:tc>
          <w:tcPr>
            <w:tcW w:w="3302" w:type="dxa"/>
          </w:tcPr>
          <w:p>
            <w:pPr>
              <w:ind w:firstLine="119" w:firstLineChars="57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3.6.1 应急组织体系内容与管理要求</w:t>
            </w:r>
          </w:p>
          <w:p>
            <w:pPr>
              <w:ind w:firstLine="119" w:firstLineChars="57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3.6.2 专项应急预案的内容及实施细则</w:t>
            </w:r>
          </w:p>
          <w:p>
            <w:pPr>
              <w:ind w:firstLine="119" w:firstLineChars="57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3.6.3 应急预案演练的内容、周期、程序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Merge w:val="continue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</w:p>
        </w:tc>
        <w:tc>
          <w:tcPr>
            <w:tcW w:w="1237" w:type="dxa"/>
          </w:tcPr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3.7 安全制度管理</w:t>
            </w:r>
          </w:p>
        </w:tc>
        <w:tc>
          <w:tcPr>
            <w:tcW w:w="3217" w:type="dxa"/>
          </w:tcPr>
          <w:p>
            <w:pPr>
              <w:ind w:firstLine="119" w:firstLineChars="57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3.7.1 能编制现场安全管理制度</w:t>
            </w:r>
          </w:p>
          <w:p>
            <w:pPr>
              <w:ind w:firstLine="119" w:firstLineChars="57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3.7.2 能编制安全培训计划并组织实施</w:t>
            </w:r>
          </w:p>
          <w:p>
            <w:pPr>
              <w:ind w:firstLine="119" w:firstLineChars="57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3.7.3 能实施</w:t>
            </w:r>
            <w:r>
              <w:rPr>
                <w:rFonts w:hint="eastAsia"/>
              </w:rPr>
              <w:t>现场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危险源安全管理规定</w:t>
            </w:r>
          </w:p>
          <w:p>
            <w:pPr>
              <w:ind w:firstLine="119" w:firstLineChars="57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3.7.4 能制定专项工作的安全措施</w:t>
            </w:r>
          </w:p>
        </w:tc>
        <w:tc>
          <w:tcPr>
            <w:tcW w:w="3302" w:type="dxa"/>
          </w:tcPr>
          <w:p>
            <w:pPr>
              <w:ind w:left="120" w:leftChars="57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3.7.1 现场安全管理内容、规范3.7.2 安全培训内容、周期</w:t>
            </w:r>
          </w:p>
          <w:p>
            <w:pPr>
              <w:ind w:firstLine="119" w:firstLineChars="57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3.7.3 现场危险源安全管理规定编制方法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Merge w:val="continue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</w:p>
        </w:tc>
        <w:tc>
          <w:tcPr>
            <w:tcW w:w="1237" w:type="dxa"/>
          </w:tcPr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3.8 安全作业指导书管理</w:t>
            </w:r>
          </w:p>
        </w:tc>
        <w:tc>
          <w:tcPr>
            <w:tcW w:w="3217" w:type="dxa"/>
          </w:tcPr>
          <w:p>
            <w:pPr>
              <w:ind w:firstLine="119" w:firstLineChars="57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3.8.1 能实施各系统安全作业指导书</w:t>
            </w:r>
          </w:p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3.8.2 能组织检查各系统安全作业指导书实施情况</w:t>
            </w:r>
          </w:p>
        </w:tc>
        <w:tc>
          <w:tcPr>
            <w:tcW w:w="3302" w:type="dxa"/>
          </w:tcPr>
          <w:p>
            <w:pPr>
              <w:ind w:firstLine="119" w:firstLineChars="57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3.8.1 各系统的作业程序、安全规程</w:t>
            </w:r>
          </w:p>
          <w:p>
            <w:pPr>
              <w:ind w:firstLine="119" w:firstLineChars="57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3.8.2 安全作业规程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Merge w:val="restart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4.</w:t>
            </w:r>
          </w:p>
          <w:p>
            <w:pPr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项目管理</w:t>
            </w:r>
          </w:p>
        </w:tc>
        <w:tc>
          <w:tcPr>
            <w:tcW w:w="1237" w:type="dxa"/>
          </w:tcPr>
          <w:p>
            <w:pPr>
              <w:ind w:firstLine="119" w:firstLineChars="57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4.1 质量管理</w:t>
            </w:r>
          </w:p>
        </w:tc>
        <w:tc>
          <w:tcPr>
            <w:tcW w:w="3217" w:type="dxa"/>
          </w:tcPr>
          <w:p>
            <w:pPr>
              <w:ind w:firstLine="119" w:firstLineChars="57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能制定质量管理方案并实施</w:t>
            </w:r>
          </w:p>
        </w:tc>
        <w:tc>
          <w:tcPr>
            <w:tcW w:w="3302" w:type="dxa"/>
          </w:tcPr>
          <w:p>
            <w:pPr>
              <w:ind w:firstLine="119" w:firstLineChars="57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质量管理标准</w:t>
            </w:r>
          </w:p>
          <w:p>
            <w:pPr>
              <w:ind w:firstLine="119" w:firstLineChars="57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Merge w:val="continue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237" w:type="dxa"/>
          </w:tcPr>
          <w:p>
            <w:pPr>
              <w:ind w:firstLine="119" w:firstLineChars="57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4.2 日常制度管理</w:t>
            </w:r>
          </w:p>
        </w:tc>
        <w:tc>
          <w:tcPr>
            <w:tcW w:w="3217" w:type="dxa"/>
          </w:tcPr>
          <w:p>
            <w:pPr>
              <w:ind w:firstLine="119" w:firstLineChars="57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4.2.1 能制定日常管理制度</w:t>
            </w:r>
          </w:p>
          <w:p>
            <w:pPr>
              <w:ind w:firstLine="119" w:firstLineChars="57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4.2.2 能对日常管理进行检查</w:t>
            </w:r>
          </w:p>
        </w:tc>
        <w:tc>
          <w:tcPr>
            <w:tcW w:w="3302" w:type="dxa"/>
          </w:tcPr>
          <w:p>
            <w:pPr>
              <w:ind w:firstLine="119" w:firstLineChars="57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管理制度内容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Merge w:val="continue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237" w:type="dxa"/>
          </w:tcPr>
          <w:p>
            <w:pPr>
              <w:ind w:firstLine="119" w:firstLineChars="57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4.3 作业指导书管理</w:t>
            </w:r>
          </w:p>
        </w:tc>
        <w:tc>
          <w:tcPr>
            <w:tcW w:w="3217" w:type="dxa"/>
          </w:tcPr>
          <w:p>
            <w:pPr>
              <w:ind w:firstLine="119" w:firstLineChars="57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能实施各系统作业指导书</w:t>
            </w:r>
          </w:p>
          <w:p>
            <w:pPr>
              <w:ind w:firstLine="119" w:firstLineChars="57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302" w:type="dxa"/>
          </w:tcPr>
          <w:p>
            <w:pPr>
              <w:ind w:firstLine="119" w:firstLineChars="57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各系统运行维护作业程序、安全事项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Merge w:val="restart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技术管理及培训指导</w:t>
            </w:r>
          </w:p>
        </w:tc>
        <w:tc>
          <w:tcPr>
            <w:tcW w:w="1237" w:type="dxa"/>
          </w:tcPr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5.1 技术管理</w:t>
            </w:r>
          </w:p>
        </w:tc>
        <w:tc>
          <w:tcPr>
            <w:tcW w:w="3217" w:type="dxa"/>
          </w:tcPr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5.1.1 能对管廊设备进行技术革新</w:t>
            </w:r>
          </w:p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5.1.2 能对技术改造工程方案审核并提出改进意见</w:t>
            </w:r>
          </w:p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5.1.3 能审核入廊管线单位施工方案</w:t>
            </w:r>
          </w:p>
        </w:tc>
        <w:tc>
          <w:tcPr>
            <w:tcW w:w="3302" w:type="dxa"/>
          </w:tcPr>
          <w:p>
            <w:pPr>
              <w:ind w:firstLine="119" w:firstLineChars="57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5.1.1 新技术、新工艺、新设备的使用方法</w:t>
            </w:r>
          </w:p>
          <w:p>
            <w:pPr>
              <w:ind w:firstLine="119" w:firstLineChars="57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5.1.2 技术改造的相关标准</w:t>
            </w:r>
          </w:p>
          <w:p>
            <w:pPr>
              <w:ind w:firstLine="119" w:firstLineChars="57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5.1.3 入线管廊施工技术规范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Merge w:val="continue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7" w:type="dxa"/>
          </w:tcPr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5.2 培训指导</w:t>
            </w:r>
          </w:p>
        </w:tc>
        <w:tc>
          <w:tcPr>
            <w:tcW w:w="3217" w:type="dxa"/>
          </w:tcPr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5.2.1 能按培训方案对技能人员进行培训</w:t>
            </w:r>
          </w:p>
          <w:p>
            <w:pPr>
              <w:ind w:firstLine="119" w:firstLineChars="57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5.2.2 能开展管廊专业项目培训</w:t>
            </w:r>
          </w:p>
        </w:tc>
        <w:tc>
          <w:tcPr>
            <w:tcW w:w="3302" w:type="dxa"/>
            <w:vAlign w:val="center"/>
          </w:tcPr>
          <w:p>
            <w:pPr>
              <w:ind w:firstLine="119" w:firstLineChars="57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5.2.1 组织能力、专业技术水平、表达技巧培训方法</w:t>
            </w:r>
          </w:p>
          <w:p>
            <w:pPr>
              <w:ind w:firstLine="119" w:firstLineChars="57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5.2.2 管廊各专业相关知识培训方法</w:t>
            </w:r>
          </w:p>
        </w:tc>
      </w:tr>
    </w:tbl>
    <w:p>
      <w:pPr>
        <w:widowControl/>
        <w:spacing w:line="360" w:lineRule="auto"/>
        <w:jc w:val="left"/>
        <w:rPr>
          <w:rFonts w:ascii="黑体" w:hAnsi="宋体" w:eastAsia="黑体" w:cs="黑体"/>
          <w:color w:val="000000"/>
          <w:kern w:val="0"/>
          <w:sz w:val="24"/>
          <w:lang w:bidi="ar"/>
        </w:rPr>
      </w:pPr>
    </w:p>
    <w:p>
      <w:pPr>
        <w:widowControl/>
        <w:spacing w:line="360" w:lineRule="auto"/>
        <w:jc w:val="left"/>
        <w:rPr>
          <w:rFonts w:ascii="黑体" w:hAnsi="宋体" w:eastAsia="黑体" w:cs="黑体"/>
          <w:color w:val="000000"/>
          <w:kern w:val="0"/>
          <w:sz w:val="24"/>
          <w:lang w:bidi="ar"/>
        </w:rPr>
      </w:pPr>
    </w:p>
    <w:p>
      <w:pPr>
        <w:widowControl/>
        <w:spacing w:line="360" w:lineRule="auto"/>
        <w:jc w:val="left"/>
        <w:rPr>
          <w:rFonts w:ascii="黑体" w:hAnsi="宋体" w:eastAsia="黑体" w:cs="黑体"/>
          <w:color w:val="000000"/>
          <w:kern w:val="0"/>
          <w:sz w:val="24"/>
          <w:lang w:bidi="ar"/>
        </w:rPr>
      </w:pPr>
    </w:p>
    <w:p>
      <w:pPr>
        <w:widowControl/>
        <w:spacing w:line="360" w:lineRule="auto"/>
        <w:jc w:val="left"/>
        <w:rPr>
          <w:rFonts w:ascii="黑体" w:hAnsi="宋体" w:eastAsia="黑体" w:cs="黑体"/>
          <w:color w:val="000000"/>
          <w:kern w:val="0"/>
          <w:sz w:val="24"/>
          <w:lang w:bidi="ar"/>
        </w:rPr>
      </w:pPr>
    </w:p>
    <w:p>
      <w:pPr>
        <w:widowControl/>
        <w:spacing w:line="360" w:lineRule="auto"/>
        <w:jc w:val="left"/>
        <w:rPr>
          <w:rFonts w:ascii="黑体" w:hAnsi="宋体" w:eastAsia="黑体" w:cs="黑体"/>
          <w:color w:val="000000"/>
          <w:kern w:val="0"/>
          <w:sz w:val="24"/>
          <w:lang w:bidi="ar"/>
        </w:rPr>
      </w:pPr>
    </w:p>
    <w:p>
      <w:pPr>
        <w:widowControl/>
        <w:spacing w:line="360" w:lineRule="auto"/>
        <w:jc w:val="left"/>
        <w:rPr>
          <w:rFonts w:ascii="黑体" w:hAnsi="宋体" w:eastAsia="黑体" w:cs="黑体"/>
          <w:color w:val="000000"/>
          <w:kern w:val="0"/>
          <w:sz w:val="24"/>
          <w:lang w:bidi="ar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widowControl/>
        <w:spacing w:line="360" w:lineRule="auto"/>
        <w:jc w:val="left"/>
        <w:rPr>
          <w:rFonts w:ascii="黑体" w:hAnsi="宋体" w:eastAsia="黑体" w:cs="黑体"/>
          <w:color w:val="000000"/>
          <w:kern w:val="0"/>
          <w:sz w:val="24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lang w:bidi="ar"/>
        </w:rPr>
        <w:t>3.1.4一级/高级技师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215"/>
        <w:gridCol w:w="3122"/>
        <w:gridCol w:w="3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职业功能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工作内容</w:t>
            </w:r>
          </w:p>
        </w:tc>
        <w:tc>
          <w:tcPr>
            <w:tcW w:w="31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技能要求</w:t>
            </w:r>
          </w:p>
        </w:tc>
        <w:tc>
          <w:tcPr>
            <w:tcW w:w="31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相关知识要求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  <w:vMerge w:val="restart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运行管理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ind w:right="29" w:rightChars="14" w:firstLine="109" w:firstLineChars="52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1.1 监控系统测试</w:t>
            </w:r>
          </w:p>
        </w:tc>
        <w:tc>
          <w:tcPr>
            <w:tcW w:w="3122" w:type="dxa"/>
          </w:tcPr>
          <w:p>
            <w:pPr>
              <w:widowControl/>
              <w:ind w:right="29" w:rightChars="14" w:firstLine="109" w:firstLineChars="52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能组织开展监控系统联动测试</w:t>
            </w:r>
          </w:p>
        </w:tc>
        <w:tc>
          <w:tcPr>
            <w:tcW w:w="3189" w:type="dxa"/>
          </w:tcPr>
          <w:p>
            <w:pPr>
              <w:widowControl/>
              <w:ind w:right="29" w:rightChars="14" w:firstLine="109" w:firstLineChars="52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监控系统联动测试方法、内容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  <w:vMerge w:val="continue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15" w:type="dxa"/>
          </w:tcPr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1.2 运行记录与分析</w:t>
            </w:r>
          </w:p>
        </w:tc>
        <w:tc>
          <w:tcPr>
            <w:tcW w:w="3122" w:type="dxa"/>
          </w:tcPr>
          <w:p>
            <w:pPr>
              <w:ind w:right="29" w:rightChars="14" w:firstLine="109" w:firstLineChars="52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能开展项目整体运行评估和分析</w:t>
            </w:r>
          </w:p>
        </w:tc>
        <w:tc>
          <w:tcPr>
            <w:tcW w:w="3189" w:type="dxa"/>
          </w:tcPr>
          <w:p>
            <w:pPr>
              <w:ind w:right="29" w:rightChars="14" w:firstLine="109" w:firstLineChars="52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项目运行管理目标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0" w:type="dxa"/>
            <w:vMerge w:val="continue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15" w:type="dxa"/>
          </w:tcPr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1.3 管线管理</w:t>
            </w:r>
          </w:p>
        </w:tc>
        <w:tc>
          <w:tcPr>
            <w:tcW w:w="3122" w:type="dxa"/>
          </w:tcPr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kern w:val="0"/>
                <w:szCs w:val="21"/>
                <w:highlight w:val="red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能对管线单位进行客户意见调查、分析</w:t>
            </w:r>
          </w:p>
        </w:tc>
        <w:tc>
          <w:tcPr>
            <w:tcW w:w="3189" w:type="dxa"/>
          </w:tcPr>
          <w:p>
            <w:pPr>
              <w:ind w:right="29" w:rightChars="14" w:firstLine="109" w:firstLineChars="52"/>
              <w:rPr>
                <w:rFonts w:ascii="宋体" w:hAnsi="宋体" w:cs="宋体"/>
                <w:kern w:val="0"/>
                <w:szCs w:val="21"/>
                <w:highlight w:val="red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客户意见调查内容及方法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0" w:hRule="atLeast"/>
        </w:trPr>
        <w:tc>
          <w:tcPr>
            <w:tcW w:w="770" w:type="dxa"/>
            <w:vMerge w:val="restart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设备设施维修维护</w:t>
            </w:r>
          </w:p>
        </w:tc>
        <w:tc>
          <w:tcPr>
            <w:tcW w:w="1215" w:type="dxa"/>
          </w:tcPr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2.1 管廊本体维护</w:t>
            </w:r>
          </w:p>
        </w:tc>
        <w:tc>
          <w:tcPr>
            <w:tcW w:w="3122" w:type="dxa"/>
          </w:tcPr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2.1.1能组织编制构筑物大中修计划</w:t>
            </w:r>
          </w:p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2.1.2 能编制管廊主体观测方案，确定观测点并对沉降、位移、碳化数量进行判断和分析</w:t>
            </w:r>
          </w:p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2.1.3 能编制管廊主体维护方案</w:t>
            </w:r>
          </w:p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2.1.4 能编制支架、桥架构件维护计划方案</w:t>
            </w:r>
          </w:p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2.1.5 能编制实施构筑物渗漏治理计划方案</w:t>
            </w:r>
          </w:p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2.1.6 能编制对井盖、盖板、工井结构及井内配件的维修计划方案</w:t>
            </w:r>
          </w:p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2.1.7 能编制对出入口、吊装口的维修计划方案</w:t>
            </w:r>
          </w:p>
        </w:tc>
        <w:tc>
          <w:tcPr>
            <w:tcW w:w="3189" w:type="dxa"/>
          </w:tcPr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2.1.1 构筑物大中修实施内容、管理要求与方法</w:t>
            </w:r>
          </w:p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2.1.2 管廊主体构沉降、位移、碳化标准规范</w:t>
            </w:r>
          </w:p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2.1.3 管廊主体维护内容、方法、安全规程</w:t>
            </w:r>
          </w:p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2.1.4 支架、桥架构件维护内容、方法</w:t>
            </w:r>
          </w:p>
          <w:p>
            <w:pPr>
              <w:ind w:firstLine="210" w:firstLineChars="100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2.1.5 构筑物渗漏的原因，维修标准要求</w:t>
            </w:r>
          </w:p>
          <w:p>
            <w:pPr>
              <w:ind w:firstLine="210" w:firstLineChars="100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2.1.6 井盖、盖板、工井结构及井内配件的维修规程</w:t>
            </w:r>
          </w:p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2.1.7 出入口、吊装口的维修内容与方法</w:t>
            </w:r>
          </w:p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  <w:vMerge w:val="continue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</w:p>
        </w:tc>
        <w:tc>
          <w:tcPr>
            <w:tcW w:w="1215" w:type="dxa"/>
          </w:tcPr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2.2 设备维修维护</w:t>
            </w:r>
          </w:p>
        </w:tc>
        <w:tc>
          <w:tcPr>
            <w:tcW w:w="3122" w:type="dxa"/>
          </w:tcPr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2.2.1 能编制供电设备巡检、维护计划和方案</w:t>
            </w:r>
          </w:p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2.2.2 能编制照明系统巡检、维护计划和方案</w:t>
            </w:r>
          </w:p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2.2.3 能编制通风系统巡检、维护计划和方案</w:t>
            </w:r>
          </w:p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2.2.4 能编制给排水系统巡检、维护计划和方案</w:t>
            </w:r>
          </w:p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2.2.5 能编制消防系统巡检、维护计划和方案</w:t>
            </w:r>
          </w:p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2.2.6 能编制监控与报警系统巡检、维护计划和方案</w:t>
            </w:r>
          </w:p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2.2.7能编制环境与设备监控系统巡检、维护计划和方案</w:t>
            </w:r>
          </w:p>
        </w:tc>
        <w:tc>
          <w:tcPr>
            <w:tcW w:w="3189" w:type="dxa"/>
          </w:tcPr>
          <w:p>
            <w:pPr>
              <w:ind w:right="29" w:rightChars="14" w:firstLine="109" w:firstLineChars="52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2.2.1 供电设备巡检和维护周期技术规程</w:t>
            </w:r>
          </w:p>
          <w:p>
            <w:pPr>
              <w:ind w:right="29" w:rightChars="14" w:firstLine="109" w:firstLineChars="52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2.2.2 照明系统巡检和维护技术规程</w:t>
            </w:r>
          </w:p>
          <w:p>
            <w:pPr>
              <w:ind w:right="29" w:rightChars="14" w:firstLine="109" w:firstLineChars="52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2.2.3 通风系统巡检和维护技术规程</w:t>
            </w:r>
          </w:p>
          <w:p>
            <w:pPr>
              <w:ind w:right="29" w:rightChars="14" w:firstLine="109" w:firstLineChars="52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2.2.4 给排水系统巡检和维护技术规程</w:t>
            </w:r>
          </w:p>
          <w:p>
            <w:pPr>
              <w:ind w:right="29" w:rightChars="14" w:firstLine="109" w:firstLineChars="52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2.2.5 消防系统巡检和维护技术规程</w:t>
            </w:r>
          </w:p>
          <w:p>
            <w:pPr>
              <w:ind w:right="29" w:rightChars="14" w:firstLine="109" w:firstLineChars="52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2.2.6 监控与报警系统巡检和维护技术规程</w:t>
            </w:r>
          </w:p>
          <w:p>
            <w:pPr>
              <w:ind w:right="29" w:rightChars="14" w:firstLine="109" w:firstLineChars="52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2.2.7环境与设备监控系统巡检和维护技术规程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  <w:vMerge w:val="restart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3.安全管理</w:t>
            </w:r>
          </w:p>
          <w:p>
            <w:pPr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215" w:type="dxa"/>
          </w:tcPr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3.1 紧急救护</w:t>
            </w:r>
          </w:p>
        </w:tc>
        <w:tc>
          <w:tcPr>
            <w:tcW w:w="3122" w:type="dxa"/>
          </w:tcPr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3.1.1 能编制紧急救护培训方案</w:t>
            </w:r>
          </w:p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3.1.2 能编制紧急救护预案并组织演练</w:t>
            </w:r>
          </w:p>
        </w:tc>
        <w:tc>
          <w:tcPr>
            <w:tcW w:w="3189" w:type="dxa"/>
          </w:tcPr>
          <w:p>
            <w:pPr>
              <w:ind w:right="29" w:rightChars="14" w:firstLine="109" w:firstLineChars="52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3.1.1 紧急救护程序</w:t>
            </w:r>
          </w:p>
          <w:p>
            <w:pPr>
              <w:ind w:right="29" w:rightChars="14" w:firstLine="109" w:firstLineChars="52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3.1.2 紧急救护预案编制方法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  <w:vMerge w:val="continue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</w:p>
        </w:tc>
        <w:tc>
          <w:tcPr>
            <w:tcW w:w="1215" w:type="dxa"/>
          </w:tcPr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3.2 安全工器具管理</w:t>
            </w:r>
          </w:p>
        </w:tc>
        <w:tc>
          <w:tcPr>
            <w:tcW w:w="3122" w:type="dxa"/>
          </w:tcPr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3.2.1 能编制安全工器具日常维护方案</w:t>
            </w:r>
          </w:p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3.2.2 能编制安全工器具的定期更新维护计划</w:t>
            </w:r>
          </w:p>
        </w:tc>
        <w:tc>
          <w:tcPr>
            <w:tcW w:w="3189" w:type="dxa"/>
          </w:tcPr>
          <w:p>
            <w:pPr>
              <w:ind w:right="29" w:rightChars="14" w:firstLine="109" w:firstLineChars="52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 xml:space="preserve">3.2.1 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安全工器具维护规程</w:t>
            </w:r>
          </w:p>
          <w:p>
            <w:pPr>
              <w:ind w:right="29" w:rightChars="14" w:firstLine="109" w:firstLineChars="52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3.2.2 工器具更新要求及周期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  <w:vMerge w:val="continue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</w:p>
        </w:tc>
        <w:tc>
          <w:tcPr>
            <w:tcW w:w="1215" w:type="dxa"/>
          </w:tcPr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3.3 环境健康管理</w:t>
            </w:r>
          </w:p>
        </w:tc>
        <w:tc>
          <w:tcPr>
            <w:tcW w:w="3122" w:type="dxa"/>
          </w:tcPr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3.3.1 能编制管廊环境风险源分析表</w:t>
            </w:r>
          </w:p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3.3.2 能实施职业健康的管理</w:t>
            </w:r>
          </w:p>
        </w:tc>
        <w:tc>
          <w:tcPr>
            <w:tcW w:w="3189" w:type="dxa"/>
          </w:tcPr>
          <w:p>
            <w:pPr>
              <w:ind w:right="29" w:rightChars="14" w:firstLine="109" w:firstLineChars="52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3.3.1 管廊环境风险源分析方法</w:t>
            </w:r>
          </w:p>
          <w:p>
            <w:pPr>
              <w:ind w:right="29" w:rightChars="14" w:firstLine="109" w:firstLineChars="52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3.3.2 职业健康法律法规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  <w:vMerge w:val="continue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</w:p>
        </w:tc>
        <w:tc>
          <w:tcPr>
            <w:tcW w:w="1215" w:type="dxa"/>
          </w:tcPr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3.4 管廊本体安全管理</w:t>
            </w:r>
          </w:p>
        </w:tc>
        <w:tc>
          <w:tcPr>
            <w:tcW w:w="3122" w:type="dxa"/>
          </w:tcPr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能审核构筑物安全控制区域的施工作业方案</w:t>
            </w:r>
          </w:p>
        </w:tc>
        <w:tc>
          <w:tcPr>
            <w:tcW w:w="3189" w:type="dxa"/>
          </w:tcPr>
          <w:p>
            <w:pPr>
              <w:ind w:right="29" w:rightChars="14" w:firstLine="109" w:firstLineChars="52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构筑物安全控制区施工作业规范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  <w:vMerge w:val="continue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</w:p>
        </w:tc>
        <w:tc>
          <w:tcPr>
            <w:tcW w:w="1215" w:type="dxa"/>
          </w:tcPr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3.5 作业安全管理</w:t>
            </w:r>
          </w:p>
        </w:tc>
        <w:tc>
          <w:tcPr>
            <w:tcW w:w="3122" w:type="dxa"/>
          </w:tcPr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3.5.1 能编制入廊人员作业规范</w:t>
            </w:r>
          </w:p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3.5.2 能审核入廊施工安全措施方案并提出相关要求</w:t>
            </w:r>
          </w:p>
        </w:tc>
        <w:tc>
          <w:tcPr>
            <w:tcW w:w="3189" w:type="dxa"/>
          </w:tcPr>
          <w:p>
            <w:pPr>
              <w:ind w:right="29" w:rightChars="14" w:firstLine="109" w:firstLineChars="52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入廊人员作业要求</w:t>
            </w:r>
          </w:p>
          <w:p>
            <w:pPr>
              <w:ind w:right="29" w:rightChars="14" w:firstLine="109" w:firstLineChars="52"/>
              <w:rPr>
                <w:rFonts w:ascii="宋体" w:hAnsi="宋体" w:cs="宋体"/>
                <w:color w:val="000000"/>
                <w:kern w:val="0"/>
                <w:szCs w:val="21"/>
                <w:highlight w:val="red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  <w:vMerge w:val="continue"/>
          </w:tcPr>
          <w:p>
            <w:pPr>
              <w:numPr>
                <w:ilvl w:val="0"/>
                <w:numId w:val="4"/>
              </w:numPr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215" w:type="dxa"/>
          </w:tcPr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3.6 应急预案管理</w:t>
            </w:r>
          </w:p>
        </w:tc>
        <w:tc>
          <w:tcPr>
            <w:tcW w:w="3122" w:type="dxa"/>
          </w:tcPr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3.6.1 能编制项目应急组织体系文件</w:t>
            </w:r>
          </w:p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3.6.2 能编制管廊各项专项应急预案（防台风、防汛、防火、防破坏、防触电、施工事故、管线事故、地震、塌方等）</w:t>
            </w:r>
          </w:p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3.6.3 能编制应急预案演练方案并组织定期演练</w:t>
            </w:r>
          </w:p>
        </w:tc>
        <w:tc>
          <w:tcPr>
            <w:tcW w:w="3189" w:type="dxa"/>
          </w:tcPr>
          <w:p>
            <w:pPr>
              <w:ind w:right="29" w:rightChars="14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应急管理法律法规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  <w:vMerge w:val="continue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215" w:type="dxa"/>
          </w:tcPr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3.7 安全制度管理</w:t>
            </w:r>
          </w:p>
        </w:tc>
        <w:tc>
          <w:tcPr>
            <w:tcW w:w="3122" w:type="dxa"/>
          </w:tcPr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3.7.1 能组织实施安全检查</w:t>
            </w:r>
          </w:p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3.7.2 能编制重大危险源的现场安全管理规定</w:t>
            </w:r>
          </w:p>
        </w:tc>
        <w:tc>
          <w:tcPr>
            <w:tcW w:w="3189" w:type="dxa"/>
          </w:tcPr>
          <w:p>
            <w:pPr>
              <w:ind w:right="29" w:rightChars="14" w:firstLine="165" w:firstLineChars="79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3.7.1 安全检查内容、要求、程序、规范</w:t>
            </w:r>
          </w:p>
          <w:p>
            <w:pPr>
              <w:ind w:right="29" w:rightChars="14" w:firstLine="165" w:firstLineChars="79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3.7.2 重大危险源识别方法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70" w:type="dxa"/>
            <w:vMerge w:val="continue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215" w:type="dxa"/>
          </w:tcPr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3.8 安全作业指导书管理</w:t>
            </w:r>
          </w:p>
        </w:tc>
        <w:tc>
          <w:tcPr>
            <w:tcW w:w="3122" w:type="dxa"/>
          </w:tcPr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能组织编制各系统安全作业指导书</w:t>
            </w:r>
          </w:p>
        </w:tc>
        <w:tc>
          <w:tcPr>
            <w:tcW w:w="3189" w:type="dxa"/>
          </w:tcPr>
          <w:p>
            <w:pPr>
              <w:ind w:right="29" w:rightChars="14" w:firstLine="109" w:firstLineChars="52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各系统作业内容和要求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  <w:vMerge w:val="restart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4.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项目管理</w:t>
            </w:r>
          </w:p>
        </w:tc>
        <w:tc>
          <w:tcPr>
            <w:tcW w:w="1215" w:type="dxa"/>
          </w:tcPr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4.1 项目绩效评价</w:t>
            </w:r>
          </w:p>
        </w:tc>
        <w:tc>
          <w:tcPr>
            <w:tcW w:w="3122" w:type="dxa"/>
          </w:tcPr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能编制运维考核方案，确定考核内容并组织实施考核</w:t>
            </w:r>
          </w:p>
        </w:tc>
        <w:tc>
          <w:tcPr>
            <w:tcW w:w="3189" w:type="dxa"/>
          </w:tcPr>
          <w:p>
            <w:pPr>
              <w:ind w:right="29" w:rightChars="14" w:firstLine="109" w:firstLineChars="52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运维绩效考核内容和要求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  <w:vMerge w:val="continue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15" w:type="dxa"/>
          </w:tcPr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4.2 质量评价与改进 </w:t>
            </w:r>
          </w:p>
        </w:tc>
        <w:tc>
          <w:tcPr>
            <w:tcW w:w="3122" w:type="dxa"/>
          </w:tcPr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能制定改进方案并实施改进</w:t>
            </w:r>
          </w:p>
        </w:tc>
        <w:tc>
          <w:tcPr>
            <w:tcW w:w="3189" w:type="dxa"/>
          </w:tcPr>
          <w:p>
            <w:pPr>
              <w:ind w:right="29" w:rightChars="14" w:firstLine="109" w:firstLineChars="52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PDCA闭环管理方法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  <w:vMerge w:val="continue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15" w:type="dxa"/>
          </w:tcPr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4.3日常制度管理</w:t>
            </w:r>
          </w:p>
        </w:tc>
        <w:tc>
          <w:tcPr>
            <w:tcW w:w="3122" w:type="dxa"/>
          </w:tcPr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4.3.1 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能编制管廊日常管理制度并实施</w:t>
            </w:r>
          </w:p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4.3.2 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能编制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入廊施工管理制度</w:t>
            </w:r>
          </w:p>
        </w:tc>
        <w:tc>
          <w:tcPr>
            <w:tcW w:w="3189" w:type="dxa"/>
          </w:tcPr>
          <w:p>
            <w:pPr>
              <w:ind w:right="29" w:rightChars="14" w:firstLine="109" w:firstLineChars="52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4.3.1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日常管理的内容、运行要求</w:t>
            </w:r>
          </w:p>
          <w:p>
            <w:pPr>
              <w:ind w:right="29" w:rightChars="14" w:firstLine="109" w:firstLineChars="52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4.3.2入廊施工规范要求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  <w:vMerge w:val="continue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15" w:type="dxa"/>
          </w:tcPr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4.4作业指导书管理</w:t>
            </w:r>
          </w:p>
        </w:tc>
        <w:tc>
          <w:tcPr>
            <w:tcW w:w="3122" w:type="dxa"/>
          </w:tcPr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能编制各系统作业指导书</w:t>
            </w:r>
          </w:p>
          <w:p>
            <w:pPr>
              <w:ind w:right="29" w:rightChars="14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189" w:type="dxa"/>
          </w:tcPr>
          <w:p>
            <w:pPr>
              <w:ind w:right="29" w:rightChars="14" w:firstLine="109" w:firstLineChars="52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各系统作业规程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  <w:vMerge w:val="restart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技术管理及培训指导</w:t>
            </w:r>
          </w:p>
        </w:tc>
        <w:tc>
          <w:tcPr>
            <w:tcW w:w="1215" w:type="dxa"/>
          </w:tcPr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5.1 技术管理</w:t>
            </w:r>
          </w:p>
        </w:tc>
        <w:tc>
          <w:tcPr>
            <w:tcW w:w="3122" w:type="dxa"/>
          </w:tcPr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5.1.1 能对技术改造方案、施工图进行审核</w:t>
            </w:r>
          </w:p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5.1.2 能审核各入廊管线单位施工方案</w:t>
            </w:r>
          </w:p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5.1.3 能审核管廊保护区施工保护方案</w:t>
            </w:r>
          </w:p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5.1.4 能编写运维方案</w:t>
            </w:r>
          </w:p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5.1.5 能编写运维总结及工作计划</w:t>
            </w:r>
          </w:p>
        </w:tc>
        <w:tc>
          <w:tcPr>
            <w:tcW w:w="3189" w:type="dxa"/>
            <w:vAlign w:val="center"/>
          </w:tcPr>
          <w:p>
            <w:pPr>
              <w:ind w:right="29" w:rightChars="14" w:firstLine="109" w:firstLineChars="52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5.1.1 技术改造标准规范，施工图识读方法</w:t>
            </w:r>
          </w:p>
          <w:p>
            <w:pPr>
              <w:ind w:right="29" w:rightChars="14" w:firstLine="109" w:firstLineChars="52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5.1.2 入廊管线施工要求、标准及规范</w:t>
            </w:r>
          </w:p>
          <w:p>
            <w:pPr>
              <w:ind w:right="29" w:rightChars="14" w:firstLine="109" w:firstLineChars="52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5.1.3 管廊保护区相关法规</w:t>
            </w:r>
          </w:p>
          <w:p>
            <w:pPr>
              <w:ind w:right="29" w:rightChars="14" w:firstLine="109" w:firstLineChars="52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5.1.4 管廊运维内容</w:t>
            </w:r>
          </w:p>
          <w:p>
            <w:pPr>
              <w:ind w:right="29" w:rightChars="14" w:firstLine="109" w:firstLineChars="52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  <w:vMerge w:val="continue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15" w:type="dxa"/>
          </w:tcPr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5.2 培训指导</w:t>
            </w:r>
          </w:p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22" w:type="dxa"/>
          </w:tcPr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5.2.1 能对二级/技师及以下等级的技能人员进行培训</w:t>
            </w:r>
          </w:p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5.2.2 能编制培训教材</w:t>
            </w:r>
          </w:p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5.2.3 能开展管廊专业项目培训</w:t>
            </w:r>
          </w:p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5.2.4 能指导现场管理的技术难题</w:t>
            </w:r>
          </w:p>
          <w:p>
            <w:pPr>
              <w:ind w:right="29" w:rightChars="14" w:firstLine="109" w:firstLineChars="52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5.2.5 能组织开展运维技能考核</w:t>
            </w:r>
          </w:p>
        </w:tc>
        <w:tc>
          <w:tcPr>
            <w:tcW w:w="3189" w:type="dxa"/>
          </w:tcPr>
          <w:p>
            <w:pPr>
              <w:ind w:right="29" w:rightChars="14" w:firstLine="109" w:firstLineChars="52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5.2.1 表达技巧、专业技术能力、培训演讲技巧</w:t>
            </w:r>
          </w:p>
          <w:p>
            <w:pPr>
              <w:ind w:right="29" w:rightChars="14" w:firstLine="109" w:firstLineChars="52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5.2.2 培训课程设计技巧</w:t>
            </w:r>
          </w:p>
          <w:p>
            <w:pPr>
              <w:ind w:right="29" w:rightChars="14" w:firstLine="109" w:firstLineChars="52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5.2.3 培训组织策划能力</w:t>
            </w:r>
          </w:p>
          <w:p>
            <w:pPr>
              <w:ind w:right="29" w:rightChars="14" w:firstLine="109" w:firstLineChars="52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5.2.4专业技能及口头表达能力</w:t>
            </w:r>
          </w:p>
          <w:p>
            <w:pPr>
              <w:ind w:right="29" w:rightChars="14" w:firstLine="109" w:firstLineChars="52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5.2.5运维考核内容、程序、方法</w:t>
            </w:r>
          </w:p>
        </w:tc>
      </w:tr>
    </w:tbl>
    <w:p>
      <w:pPr>
        <w:widowControl/>
        <w:spacing w:line="360" w:lineRule="auto"/>
        <w:jc w:val="left"/>
        <w:rPr>
          <w:rFonts w:ascii="黑体" w:hAnsi="宋体" w:eastAsia="黑体" w:cs="黑体"/>
          <w:color w:val="000000"/>
          <w:kern w:val="0"/>
          <w:sz w:val="24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</w:p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4"/>
          <w:lang w:bidi="ar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4"/>
          <w:lang w:bidi="ar"/>
        </w:rPr>
        <w:t>4 权重表</w:t>
      </w:r>
    </w:p>
    <w:p>
      <w:pPr>
        <w:widowControl/>
        <w:spacing w:line="360" w:lineRule="auto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Cs w:val="21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Cs w:val="21"/>
          <w:lang w:bidi="ar"/>
        </w:rPr>
        <w:t>4.1理论知识权重表</w:t>
      </w:r>
    </w:p>
    <w:tbl>
      <w:tblPr>
        <w:tblStyle w:val="24"/>
        <w:tblW w:w="4998" w:type="pct"/>
        <w:jc w:val="center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2666"/>
        <w:gridCol w:w="1074"/>
        <w:gridCol w:w="1074"/>
        <w:gridCol w:w="1029"/>
        <w:gridCol w:w="1340"/>
      </w:tblGrid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348" w:type="pct"/>
            <w:gridSpan w:val="2"/>
            <w:tcBorders>
              <w:insideH w:val="single" w:sz="12" w:space="0"/>
              <w:tl2br w:val="single" w:color="000000" w:themeColor="text1" w:sz="2" w:space="0"/>
            </w:tcBorders>
            <w:vAlign w:val="center"/>
          </w:tcPr>
          <w:p>
            <w:pPr>
              <w:snapToGrid w:val="0"/>
              <w:jc w:val="righ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技能等级</w:t>
            </w:r>
          </w:p>
          <w:p>
            <w:pPr>
              <w:snapToGrid w:val="0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  <w:p>
            <w:pPr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项目</w:t>
            </w:r>
          </w:p>
        </w:tc>
        <w:tc>
          <w:tcPr>
            <w:tcW w:w="630" w:type="pct"/>
            <w:tcBorders>
              <w:insideH w:val="single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四级/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中级工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（%）</w:t>
            </w:r>
          </w:p>
        </w:tc>
        <w:tc>
          <w:tcPr>
            <w:tcW w:w="630" w:type="pct"/>
            <w:tcBorders>
              <w:insideH w:val="single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三级/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高级工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（%）</w:t>
            </w:r>
          </w:p>
        </w:tc>
        <w:tc>
          <w:tcPr>
            <w:tcW w:w="604" w:type="pct"/>
            <w:tcBorders>
              <w:insideH w:val="single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二级/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技师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（%）</w:t>
            </w:r>
          </w:p>
        </w:tc>
        <w:tc>
          <w:tcPr>
            <w:tcW w:w="786" w:type="pct"/>
            <w:tcBorders>
              <w:insideH w:val="single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一级/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高级技师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（%）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基本</w:t>
            </w:r>
          </w:p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要求</w:t>
            </w:r>
          </w:p>
        </w:tc>
        <w:tc>
          <w:tcPr>
            <w:tcW w:w="1563" w:type="pct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职业道德</w:t>
            </w:r>
          </w:p>
        </w:tc>
        <w:tc>
          <w:tcPr>
            <w:tcW w:w="630" w:type="pct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30" w:type="pct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04" w:type="pct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86" w:type="pct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3" w:type="pct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基础知识</w:t>
            </w:r>
          </w:p>
        </w:tc>
        <w:tc>
          <w:tcPr>
            <w:tcW w:w="630" w:type="pct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630" w:type="pct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604" w:type="pct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86" w:type="pct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相关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知识</w:t>
            </w:r>
          </w:p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要求</w:t>
            </w:r>
          </w:p>
        </w:tc>
        <w:tc>
          <w:tcPr>
            <w:tcW w:w="1563" w:type="pct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运行管理</w:t>
            </w:r>
          </w:p>
        </w:tc>
        <w:tc>
          <w:tcPr>
            <w:tcW w:w="630" w:type="pct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630" w:type="pct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04" w:type="pct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786" w:type="pct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4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ind w:firstLine="1890" w:firstLineChars="900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3" w:type="pct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设备设施维修维护</w:t>
            </w:r>
          </w:p>
        </w:tc>
        <w:tc>
          <w:tcPr>
            <w:tcW w:w="630" w:type="pct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630" w:type="pct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604" w:type="pct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86" w:type="pct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4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ind w:firstLine="1890" w:firstLineChars="900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3" w:type="pct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安全管理</w:t>
            </w:r>
          </w:p>
        </w:tc>
        <w:tc>
          <w:tcPr>
            <w:tcW w:w="630" w:type="pct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630" w:type="pct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604" w:type="pct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786" w:type="pct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4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ind w:firstLine="1890" w:firstLineChars="900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3" w:type="pct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bidi="ar"/>
              </w:rPr>
              <w:t>项目管理</w:t>
            </w:r>
          </w:p>
        </w:tc>
        <w:tc>
          <w:tcPr>
            <w:tcW w:w="630" w:type="pct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－</w:t>
            </w:r>
          </w:p>
        </w:tc>
        <w:tc>
          <w:tcPr>
            <w:tcW w:w="630" w:type="pct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－</w:t>
            </w:r>
          </w:p>
        </w:tc>
        <w:tc>
          <w:tcPr>
            <w:tcW w:w="604" w:type="pct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786" w:type="pct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4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ind w:firstLine="1890" w:firstLineChars="900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3" w:type="pct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技术管理及培训指导</w:t>
            </w:r>
          </w:p>
        </w:tc>
        <w:tc>
          <w:tcPr>
            <w:tcW w:w="630" w:type="pct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－</w:t>
            </w:r>
          </w:p>
        </w:tc>
        <w:tc>
          <w:tcPr>
            <w:tcW w:w="630" w:type="pct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－</w:t>
            </w:r>
          </w:p>
        </w:tc>
        <w:tc>
          <w:tcPr>
            <w:tcW w:w="604" w:type="pct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786" w:type="pct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48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630" w:type="pct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30" w:type="pct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04" w:type="pct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786" w:type="pct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100</w:t>
            </w:r>
          </w:p>
        </w:tc>
      </w:tr>
    </w:tbl>
    <w:tbl>
      <w:tblPr>
        <w:tblStyle w:val="12"/>
        <w:tblpPr w:leftFromText="180" w:rightFromText="180" w:vertAnchor="text" w:tblpX="10214" w:tblpY="-213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tbl>
      <w:tblPr>
        <w:tblStyle w:val="12"/>
        <w:tblpPr w:leftFromText="180" w:rightFromText="180" w:vertAnchor="text" w:tblpX="10214" w:tblpY="-234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4" w:type="dxa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4" w:type="dxa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widowControl/>
        <w:tabs>
          <w:tab w:val="right" w:pos="8306"/>
        </w:tabs>
        <w:spacing w:line="360" w:lineRule="auto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Cs w:val="21"/>
          <w:lang w:bidi="ar"/>
        </w:rPr>
      </w:pPr>
      <w:bookmarkStart w:id="0" w:name="_GoBack"/>
      <w:bookmarkEnd w:id="0"/>
    </w:p>
    <w:p>
      <w:pPr>
        <w:widowControl/>
        <w:tabs>
          <w:tab w:val="right" w:pos="8306"/>
        </w:tabs>
        <w:spacing w:line="360" w:lineRule="auto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Cs w:val="21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Cs w:val="21"/>
          <w:lang w:bidi="ar"/>
        </w:rPr>
        <w:t>4.2技能要求权重表</w:t>
      </w:r>
    </w:p>
    <w:tbl>
      <w:tblPr>
        <w:tblStyle w:val="1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596"/>
        <w:gridCol w:w="1589"/>
        <w:gridCol w:w="1589"/>
        <w:gridCol w:w="1442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71" w:type="pct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技能等级</w:t>
            </w:r>
          </w:p>
          <w:p>
            <w:pPr>
              <w:snapToGrid w:val="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  <w:p>
            <w:pPr>
              <w:snapToGrid w:val="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项目</w:t>
            </w:r>
          </w:p>
          <w:p>
            <w:pPr>
              <w:snapToGrid w:val="0"/>
              <w:ind w:firstLine="1475" w:firstLineChars="70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32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四级/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中级工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（%）</w:t>
            </w:r>
          </w:p>
        </w:tc>
        <w:tc>
          <w:tcPr>
            <w:tcW w:w="932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三级/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高级工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（%）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二级/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技师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（%）</w:t>
            </w:r>
          </w:p>
        </w:tc>
        <w:tc>
          <w:tcPr>
            <w:tcW w:w="1017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一级/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高级技师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5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技能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要求</w:t>
            </w:r>
          </w:p>
        </w:tc>
        <w:tc>
          <w:tcPr>
            <w:tcW w:w="935" w:type="pct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  <w:highlight w:val="red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运行管理</w:t>
            </w:r>
          </w:p>
        </w:tc>
        <w:tc>
          <w:tcPr>
            <w:tcW w:w="932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932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017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5" w:type="pct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35" w:type="pct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  <w:highlight w:val="red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设备设施维修维护</w:t>
            </w:r>
          </w:p>
        </w:tc>
        <w:tc>
          <w:tcPr>
            <w:tcW w:w="932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932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017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5" w:type="pct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35" w:type="pct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  <w:highlight w:val="red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安全管理</w:t>
            </w:r>
          </w:p>
        </w:tc>
        <w:tc>
          <w:tcPr>
            <w:tcW w:w="932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932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017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5" w:type="pct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35" w:type="pct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  <w:highlight w:val="red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bidi="ar"/>
              </w:rPr>
              <w:t>项目管理</w:t>
            </w:r>
          </w:p>
        </w:tc>
        <w:tc>
          <w:tcPr>
            <w:tcW w:w="932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－</w:t>
            </w:r>
          </w:p>
        </w:tc>
        <w:tc>
          <w:tcPr>
            <w:tcW w:w="932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－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017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5" w:type="pct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35" w:type="pct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  <w:highlight w:val="red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技术管理及培训指导</w:t>
            </w:r>
          </w:p>
        </w:tc>
        <w:tc>
          <w:tcPr>
            <w:tcW w:w="932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－</w:t>
            </w:r>
          </w:p>
        </w:tc>
        <w:tc>
          <w:tcPr>
            <w:tcW w:w="932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－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017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71" w:type="pct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932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932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1017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100</w:t>
            </w:r>
          </w:p>
        </w:tc>
      </w:tr>
    </w:tbl>
    <w:p>
      <w:pPr>
        <w:tabs>
          <w:tab w:val="left" w:pos="6072"/>
        </w:tabs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ab/>
      </w:r>
    </w:p>
    <w:p>
      <w:pPr>
        <w:tabs>
          <w:tab w:val="left" w:pos="6072"/>
        </w:tabs>
        <w:rPr>
          <w:rFonts w:ascii="宋体" w:hAnsi="宋体" w:cs="宋体"/>
          <w:color w:val="000000"/>
          <w:kern w:val="0"/>
          <w:sz w:val="24"/>
          <w:lang w:bidi="ar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URW Bookman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32"/>
                            </w:rPr>
                            <w:t>1</w: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DOqXm5zwAAAAUB&#10;AAAPAAAAAAAAAAEAIAAAADgAAABkcnMvZG93bnJldi54bWxQSwECFAAUAAAACACHTuJAq40CfNUB&#10;AACQAwAADgAAAAAAAAABACAAAAA0AQAAZHJzL2Uyb0RvYy54bWxQSwUGAAAAAAYABgBZAQAAew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sz w:val="21"/>
                        <w:szCs w:val="32"/>
                      </w:rPr>
                      <w:t>1</w:t>
                    </w:r>
                    <w:r>
                      <w:rPr>
                        <w:sz w:val="21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sz w:val="21"/>
                              <w:szCs w:val="32"/>
                            </w:rPr>
                          </w:pPr>
                          <w:r>
                            <w:rPr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32"/>
                            </w:rPr>
                            <w:t>1</w: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DOqXm5zwAAAAUB&#10;AAAPAAAAAAAAAAEAIAAAADgAAABkcnMvZG93bnJldi54bWxQSwECFAAUAAAACACHTuJAlWwMVdUB&#10;AACQAwAADgAAAAAAAAABACAAAAA0AQAAZHJzL2Uyb0RvYy54bWxQSwUGAAAAAAYABgBZAQAAew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21"/>
                        <w:szCs w:val="32"/>
                      </w:rPr>
                    </w:pPr>
                    <w:r>
                      <w:rPr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sz w:val="21"/>
                        <w:szCs w:val="32"/>
                      </w:rPr>
                      <w:t>1</w:t>
                    </w:r>
                    <w:r>
                      <w:rPr>
                        <w:sz w:val="21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widowControl/>
        <w:spacing w:line="360" w:lineRule="auto"/>
        <w:jc w:val="left"/>
        <w:rPr>
          <w:color w:val="auto"/>
          <w:sz w:val="21"/>
          <w:szCs w:val="24"/>
        </w:rPr>
      </w:pPr>
      <w:r>
        <w:rPr>
          <w:rStyle w:val="16"/>
          <w:color w:val="auto"/>
          <w:sz w:val="21"/>
          <w:szCs w:val="24"/>
          <w:vertAlign w:val="baseline"/>
        </w:rPr>
        <w:footnoteRef/>
      </w:r>
      <w:r>
        <w:rPr>
          <w:color w:val="auto"/>
          <w:sz w:val="21"/>
          <w:szCs w:val="24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bidi="ar"/>
        </w:rPr>
        <w:t>相关职业：仪器仪表工程技术人员、设备工程技术人员、自动控制工程技术人员、计算机网络工程技术人员、变电工程技术人员、输电工程技术人员、电力工程安装工程技术人员、土木建筑工程技术人员、道路与桥梁工程技术人员、项目管理工程技术人员、信息管理工程技术人员、消防员、信息通信网络运行管理员、网络与信息安全管理员、变配电运行值班员、管道工、设备点检员、钳工、电工、仪器仪表维修工、工程机械维修工，下同。</w:t>
      </w:r>
    </w:p>
  </w:footnote>
  <w:footnote w:id="1">
    <w:p>
      <w:pPr>
        <w:widowControl/>
        <w:spacing w:line="360" w:lineRule="auto"/>
        <w:jc w:val="left"/>
        <w:rPr>
          <w:rFonts w:cs="Calibri"/>
          <w:color w:val="auto"/>
          <w:kern w:val="0"/>
          <w:sz w:val="21"/>
          <w:szCs w:val="21"/>
          <w:lang w:bidi="ar"/>
        </w:rPr>
      </w:pPr>
      <w:r>
        <w:rPr>
          <w:rStyle w:val="16"/>
          <w:color w:val="auto"/>
          <w:sz w:val="21"/>
          <w:szCs w:val="24"/>
          <w:vertAlign w:val="baseline"/>
        </w:rPr>
        <w:footnoteRef/>
      </w:r>
      <w:r>
        <w:rPr>
          <w:rFonts w:cs="Calibri"/>
          <w:color w:val="auto"/>
          <w:kern w:val="0"/>
          <w:sz w:val="21"/>
          <w:szCs w:val="21"/>
          <w:lang w:bidi="ar"/>
        </w:rPr>
        <w:t>相关专业</w:t>
      </w:r>
      <w:r>
        <w:rPr>
          <w:rFonts w:hint="eastAsia" w:cs="Calibri"/>
          <w:color w:val="auto"/>
          <w:kern w:val="0"/>
          <w:sz w:val="21"/>
          <w:szCs w:val="21"/>
          <w:lang w:bidi="ar"/>
        </w:rPr>
        <w:t>：电气工程及其自动化、发电厂及变电站运行与维护、</w:t>
      </w:r>
      <w:r>
        <w:rPr>
          <w:rFonts w:ascii="Helvetica" w:hAnsi="Helvetica" w:eastAsia="Helvetica" w:cs="Helvetica"/>
          <w:color w:val="auto"/>
          <w:sz w:val="21"/>
          <w:szCs w:val="21"/>
          <w:shd w:val="clear" w:color="auto" w:fill="FFFFFF"/>
        </w:rPr>
        <w:t>供用电技术</w:t>
      </w:r>
      <w:r>
        <w:rPr>
          <w:rFonts w:hint="eastAsia" w:ascii="Helvetica" w:hAnsi="Helvetica" w:cs="Helvetica"/>
          <w:color w:val="auto"/>
          <w:sz w:val="21"/>
          <w:szCs w:val="21"/>
          <w:shd w:val="clear" w:color="auto" w:fill="FFFFFF"/>
        </w:rPr>
        <w:t>、机电技术应用、电气设备运行与控制、</w:t>
      </w:r>
      <w:r>
        <w:rPr>
          <w:rFonts w:hint="eastAsia" w:ascii="Helvetica" w:hAnsi="Helvetica" w:eastAsia="Helvetica" w:cs="Helvetica"/>
          <w:color w:val="auto"/>
          <w:sz w:val="21"/>
          <w:szCs w:val="21"/>
          <w:shd w:val="clear" w:color="auto" w:fill="FFFFFF"/>
        </w:rPr>
        <w:t>智能设备运行与维护</w:t>
      </w:r>
      <w:r>
        <w:rPr>
          <w:rFonts w:cs="Calibri"/>
          <w:color w:val="auto"/>
          <w:kern w:val="0"/>
          <w:sz w:val="21"/>
          <w:szCs w:val="21"/>
          <w:lang w:bidi="ar"/>
        </w:rPr>
        <w:t>、建筑工程施工、建筑水电设备安装与运维、市政公用、</w:t>
      </w:r>
      <w:r>
        <w:rPr>
          <w:rFonts w:hint="eastAsia" w:ascii="Helvetica" w:hAnsi="Helvetica" w:cs="Helvetica"/>
          <w:color w:val="auto"/>
          <w:sz w:val="21"/>
          <w:szCs w:val="21"/>
          <w:shd w:val="clear" w:color="auto" w:fill="FFFFFF"/>
        </w:rPr>
        <w:t>信息工程、</w:t>
      </w:r>
      <w:r>
        <w:rPr>
          <w:rFonts w:cs="Calibri"/>
          <w:color w:val="auto"/>
          <w:kern w:val="0"/>
          <w:sz w:val="21"/>
          <w:szCs w:val="21"/>
          <w:lang w:bidi="ar"/>
        </w:rPr>
        <w:t>网络信息安全、</w:t>
      </w:r>
      <w:r>
        <w:rPr>
          <w:rFonts w:ascii="Helvetica" w:hAnsi="Helvetica" w:eastAsia="Helvetica" w:cs="Helvetica"/>
          <w:color w:val="auto"/>
          <w:sz w:val="21"/>
          <w:szCs w:val="21"/>
          <w:shd w:val="clear" w:color="auto" w:fill="FFFFFF"/>
        </w:rPr>
        <w:t>计算机网络技术</w:t>
      </w:r>
      <w:r>
        <w:rPr>
          <w:rFonts w:hint="eastAsia" w:ascii="Helvetica" w:hAnsi="Helvetica" w:cs="Helvetica"/>
          <w:color w:val="auto"/>
          <w:sz w:val="21"/>
          <w:szCs w:val="21"/>
          <w:shd w:val="clear" w:color="auto" w:fill="FFFFFF"/>
        </w:rPr>
        <w:t>、</w:t>
      </w:r>
      <w:r>
        <w:rPr>
          <w:rFonts w:cs="Calibri"/>
          <w:color w:val="auto"/>
          <w:kern w:val="0"/>
          <w:sz w:val="21"/>
          <w:szCs w:val="21"/>
          <w:lang w:bidi="ar"/>
        </w:rPr>
        <w:t>管道施工</w:t>
      </w:r>
      <w:r>
        <w:rPr>
          <w:rFonts w:hint="eastAsia" w:cs="Calibri"/>
          <w:color w:val="auto"/>
          <w:kern w:val="0"/>
          <w:sz w:val="21"/>
          <w:szCs w:val="21"/>
          <w:lang w:bidi="ar"/>
        </w:rPr>
        <w:t>、</w:t>
      </w:r>
      <w:r>
        <w:rPr>
          <w:rFonts w:cs="Calibri"/>
          <w:color w:val="auto"/>
          <w:kern w:val="0"/>
          <w:sz w:val="21"/>
          <w:szCs w:val="21"/>
          <w:lang w:bidi="ar"/>
        </w:rPr>
        <w:t>机电设备维护与管理、机电一体化技术、工业自动化仪表</w:t>
      </w:r>
      <w:r>
        <w:rPr>
          <w:rFonts w:hint="eastAsia" w:cs="Calibri"/>
          <w:color w:val="auto"/>
          <w:kern w:val="0"/>
          <w:sz w:val="21"/>
          <w:szCs w:val="21"/>
          <w:lang w:bidi="ar"/>
        </w:rPr>
        <w:t>、机电设备技术</w:t>
      </w:r>
      <w:r>
        <w:rPr>
          <w:rFonts w:cs="Calibri"/>
          <w:color w:val="auto"/>
          <w:kern w:val="0"/>
          <w:sz w:val="21"/>
          <w:szCs w:val="21"/>
          <w:lang w:bidi="ar"/>
        </w:rPr>
        <w:t>，下同。</w:t>
      </w:r>
    </w:p>
    <w:p>
      <w:pPr>
        <w:pStyle w:val="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785803"/>
    <w:multiLevelType w:val="singleLevel"/>
    <w:tmpl w:val="B1785803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ED53E505"/>
    <w:multiLevelType w:val="singleLevel"/>
    <w:tmpl w:val="ED53E505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095883A3"/>
    <w:multiLevelType w:val="singleLevel"/>
    <w:tmpl w:val="095883A3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0B04D304"/>
    <w:multiLevelType w:val="singleLevel"/>
    <w:tmpl w:val="0B04D304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footnotePr>
    <w:numFmt w:val="decimalEnclosedCircleChinese"/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wYWY1MTNiMDk5MDNjZmI4ODgyYzk1MTEyYjE2M2MifQ=="/>
  </w:docVars>
  <w:rsids>
    <w:rsidRoot w:val="00172A27"/>
    <w:rsid w:val="00004677"/>
    <w:rsid w:val="00005919"/>
    <w:rsid w:val="000126B5"/>
    <w:rsid w:val="00012C21"/>
    <w:rsid w:val="00022D17"/>
    <w:rsid w:val="00041DB2"/>
    <w:rsid w:val="00060DB4"/>
    <w:rsid w:val="00062429"/>
    <w:rsid w:val="00072D62"/>
    <w:rsid w:val="00095F71"/>
    <w:rsid w:val="000C7FD1"/>
    <w:rsid w:val="000E0C34"/>
    <w:rsid w:val="000E66C7"/>
    <w:rsid w:val="000F7024"/>
    <w:rsid w:val="000F7478"/>
    <w:rsid w:val="00103011"/>
    <w:rsid w:val="00107D2A"/>
    <w:rsid w:val="001176EB"/>
    <w:rsid w:val="00135D04"/>
    <w:rsid w:val="00135F97"/>
    <w:rsid w:val="00137BFE"/>
    <w:rsid w:val="00137D25"/>
    <w:rsid w:val="0015294B"/>
    <w:rsid w:val="00154ED1"/>
    <w:rsid w:val="0015655E"/>
    <w:rsid w:val="00167EC5"/>
    <w:rsid w:val="00171E92"/>
    <w:rsid w:val="00172A27"/>
    <w:rsid w:val="001771A0"/>
    <w:rsid w:val="00182C46"/>
    <w:rsid w:val="00185EF5"/>
    <w:rsid w:val="0019397E"/>
    <w:rsid w:val="00194F8C"/>
    <w:rsid w:val="001A4127"/>
    <w:rsid w:val="001B5CAE"/>
    <w:rsid w:val="001C0E0F"/>
    <w:rsid w:val="001F4CE5"/>
    <w:rsid w:val="00205C71"/>
    <w:rsid w:val="0021129D"/>
    <w:rsid w:val="00220025"/>
    <w:rsid w:val="0022112B"/>
    <w:rsid w:val="00225EF7"/>
    <w:rsid w:val="002324FA"/>
    <w:rsid w:val="00232A67"/>
    <w:rsid w:val="0024687D"/>
    <w:rsid w:val="002534C2"/>
    <w:rsid w:val="00255F28"/>
    <w:rsid w:val="00263342"/>
    <w:rsid w:val="00264D98"/>
    <w:rsid w:val="0027524D"/>
    <w:rsid w:val="00275335"/>
    <w:rsid w:val="002848D8"/>
    <w:rsid w:val="00292078"/>
    <w:rsid w:val="002963EB"/>
    <w:rsid w:val="002A6E40"/>
    <w:rsid w:val="002B794C"/>
    <w:rsid w:val="002C1784"/>
    <w:rsid w:val="002F4BE7"/>
    <w:rsid w:val="00301601"/>
    <w:rsid w:val="003057D8"/>
    <w:rsid w:val="00317F41"/>
    <w:rsid w:val="00320596"/>
    <w:rsid w:val="00350B2B"/>
    <w:rsid w:val="00364619"/>
    <w:rsid w:val="003747F9"/>
    <w:rsid w:val="0039756D"/>
    <w:rsid w:val="003A7BEE"/>
    <w:rsid w:val="003C37A6"/>
    <w:rsid w:val="003D1E64"/>
    <w:rsid w:val="003F4B5B"/>
    <w:rsid w:val="003F623D"/>
    <w:rsid w:val="004018EA"/>
    <w:rsid w:val="00402382"/>
    <w:rsid w:val="004052BF"/>
    <w:rsid w:val="00416587"/>
    <w:rsid w:val="00422223"/>
    <w:rsid w:val="004260D7"/>
    <w:rsid w:val="004402CF"/>
    <w:rsid w:val="00452C64"/>
    <w:rsid w:val="004539D4"/>
    <w:rsid w:val="00454F06"/>
    <w:rsid w:val="00455A3D"/>
    <w:rsid w:val="00462CB6"/>
    <w:rsid w:val="004673E8"/>
    <w:rsid w:val="00475EEB"/>
    <w:rsid w:val="00484B0D"/>
    <w:rsid w:val="00486E3A"/>
    <w:rsid w:val="004906BD"/>
    <w:rsid w:val="004912D8"/>
    <w:rsid w:val="00494E32"/>
    <w:rsid w:val="004960EA"/>
    <w:rsid w:val="004A60E1"/>
    <w:rsid w:val="004C5B87"/>
    <w:rsid w:val="004D3F06"/>
    <w:rsid w:val="004E0D26"/>
    <w:rsid w:val="004E2B9C"/>
    <w:rsid w:val="004E6C8F"/>
    <w:rsid w:val="004E6E9E"/>
    <w:rsid w:val="0051053D"/>
    <w:rsid w:val="00514F99"/>
    <w:rsid w:val="00546430"/>
    <w:rsid w:val="005535BF"/>
    <w:rsid w:val="00566C6C"/>
    <w:rsid w:val="00580808"/>
    <w:rsid w:val="00592388"/>
    <w:rsid w:val="005925BE"/>
    <w:rsid w:val="005B20A1"/>
    <w:rsid w:val="005B20EE"/>
    <w:rsid w:val="005B36D8"/>
    <w:rsid w:val="005B6566"/>
    <w:rsid w:val="005D58A3"/>
    <w:rsid w:val="005E34FB"/>
    <w:rsid w:val="005F2E1F"/>
    <w:rsid w:val="006149BD"/>
    <w:rsid w:val="00621030"/>
    <w:rsid w:val="00626BF0"/>
    <w:rsid w:val="00637183"/>
    <w:rsid w:val="006454F3"/>
    <w:rsid w:val="006624B5"/>
    <w:rsid w:val="00662F3A"/>
    <w:rsid w:val="006705E7"/>
    <w:rsid w:val="006832D0"/>
    <w:rsid w:val="00696D50"/>
    <w:rsid w:val="00697DB9"/>
    <w:rsid w:val="00697F46"/>
    <w:rsid w:val="006A0886"/>
    <w:rsid w:val="006A6A19"/>
    <w:rsid w:val="006B1F05"/>
    <w:rsid w:val="006C7E92"/>
    <w:rsid w:val="006E1AC0"/>
    <w:rsid w:val="006F0FB7"/>
    <w:rsid w:val="006F7775"/>
    <w:rsid w:val="00737875"/>
    <w:rsid w:val="00740F61"/>
    <w:rsid w:val="007542E6"/>
    <w:rsid w:val="00791F58"/>
    <w:rsid w:val="00792988"/>
    <w:rsid w:val="007A3827"/>
    <w:rsid w:val="007A397A"/>
    <w:rsid w:val="007A3AD4"/>
    <w:rsid w:val="007A57C3"/>
    <w:rsid w:val="007B43E8"/>
    <w:rsid w:val="007C0B8D"/>
    <w:rsid w:val="007D0453"/>
    <w:rsid w:val="007D4AD4"/>
    <w:rsid w:val="007F5D62"/>
    <w:rsid w:val="007F790B"/>
    <w:rsid w:val="00802D88"/>
    <w:rsid w:val="008175D0"/>
    <w:rsid w:val="00836220"/>
    <w:rsid w:val="00841D98"/>
    <w:rsid w:val="00845C2B"/>
    <w:rsid w:val="00894D01"/>
    <w:rsid w:val="008B005F"/>
    <w:rsid w:val="008B3805"/>
    <w:rsid w:val="008B7A57"/>
    <w:rsid w:val="008C1AE4"/>
    <w:rsid w:val="008C552E"/>
    <w:rsid w:val="008E20BD"/>
    <w:rsid w:val="008F5B05"/>
    <w:rsid w:val="009012A2"/>
    <w:rsid w:val="00902743"/>
    <w:rsid w:val="0092329C"/>
    <w:rsid w:val="0092721E"/>
    <w:rsid w:val="009310D3"/>
    <w:rsid w:val="0093377C"/>
    <w:rsid w:val="0094209E"/>
    <w:rsid w:val="0094698D"/>
    <w:rsid w:val="009511D0"/>
    <w:rsid w:val="009512AA"/>
    <w:rsid w:val="00951B67"/>
    <w:rsid w:val="00965072"/>
    <w:rsid w:val="00971466"/>
    <w:rsid w:val="009826B7"/>
    <w:rsid w:val="009867B5"/>
    <w:rsid w:val="009921CE"/>
    <w:rsid w:val="00996891"/>
    <w:rsid w:val="009C02F2"/>
    <w:rsid w:val="009C3428"/>
    <w:rsid w:val="009C6429"/>
    <w:rsid w:val="009D0D98"/>
    <w:rsid w:val="009D61E3"/>
    <w:rsid w:val="009E32F8"/>
    <w:rsid w:val="009F00EF"/>
    <w:rsid w:val="00A0109E"/>
    <w:rsid w:val="00A0185A"/>
    <w:rsid w:val="00A06D5B"/>
    <w:rsid w:val="00A16E22"/>
    <w:rsid w:val="00A31EA4"/>
    <w:rsid w:val="00A43E0E"/>
    <w:rsid w:val="00A541CD"/>
    <w:rsid w:val="00AA580D"/>
    <w:rsid w:val="00AA641F"/>
    <w:rsid w:val="00AC0CA6"/>
    <w:rsid w:val="00AC0EFF"/>
    <w:rsid w:val="00AE4BA4"/>
    <w:rsid w:val="00AE7B81"/>
    <w:rsid w:val="00B003FB"/>
    <w:rsid w:val="00B00AF2"/>
    <w:rsid w:val="00B015AB"/>
    <w:rsid w:val="00B0203F"/>
    <w:rsid w:val="00B0527F"/>
    <w:rsid w:val="00B06CB4"/>
    <w:rsid w:val="00B20ADE"/>
    <w:rsid w:val="00B305FF"/>
    <w:rsid w:val="00B31704"/>
    <w:rsid w:val="00B33E81"/>
    <w:rsid w:val="00B43EE5"/>
    <w:rsid w:val="00B5211A"/>
    <w:rsid w:val="00B72DAB"/>
    <w:rsid w:val="00B77B0B"/>
    <w:rsid w:val="00B80638"/>
    <w:rsid w:val="00B850EC"/>
    <w:rsid w:val="00B9121D"/>
    <w:rsid w:val="00BA3EAB"/>
    <w:rsid w:val="00BC2B19"/>
    <w:rsid w:val="00BC757B"/>
    <w:rsid w:val="00BD6995"/>
    <w:rsid w:val="00BD791E"/>
    <w:rsid w:val="00C12143"/>
    <w:rsid w:val="00C15930"/>
    <w:rsid w:val="00C20161"/>
    <w:rsid w:val="00C20798"/>
    <w:rsid w:val="00C21FD8"/>
    <w:rsid w:val="00C30740"/>
    <w:rsid w:val="00C327CC"/>
    <w:rsid w:val="00C62020"/>
    <w:rsid w:val="00C64027"/>
    <w:rsid w:val="00C64028"/>
    <w:rsid w:val="00C70694"/>
    <w:rsid w:val="00C7297B"/>
    <w:rsid w:val="00C76EE5"/>
    <w:rsid w:val="00CB3E49"/>
    <w:rsid w:val="00CB637E"/>
    <w:rsid w:val="00CC7BFD"/>
    <w:rsid w:val="00CD06AE"/>
    <w:rsid w:val="00CD5823"/>
    <w:rsid w:val="00CE15EC"/>
    <w:rsid w:val="00CE181C"/>
    <w:rsid w:val="00CE2517"/>
    <w:rsid w:val="00CF3CCF"/>
    <w:rsid w:val="00CF4989"/>
    <w:rsid w:val="00D00CFB"/>
    <w:rsid w:val="00D03460"/>
    <w:rsid w:val="00D1029B"/>
    <w:rsid w:val="00D22320"/>
    <w:rsid w:val="00D22EF9"/>
    <w:rsid w:val="00D30BC7"/>
    <w:rsid w:val="00D43C9E"/>
    <w:rsid w:val="00D469DB"/>
    <w:rsid w:val="00D51E4E"/>
    <w:rsid w:val="00D63F1B"/>
    <w:rsid w:val="00D64FC2"/>
    <w:rsid w:val="00D7295F"/>
    <w:rsid w:val="00D9132D"/>
    <w:rsid w:val="00D92BF5"/>
    <w:rsid w:val="00D92DE3"/>
    <w:rsid w:val="00DA66CB"/>
    <w:rsid w:val="00DA687B"/>
    <w:rsid w:val="00DB3D7F"/>
    <w:rsid w:val="00DC08B7"/>
    <w:rsid w:val="00DD3BC1"/>
    <w:rsid w:val="00DD416B"/>
    <w:rsid w:val="00DF6C95"/>
    <w:rsid w:val="00DF6F1A"/>
    <w:rsid w:val="00E01555"/>
    <w:rsid w:val="00E15EF7"/>
    <w:rsid w:val="00E4601B"/>
    <w:rsid w:val="00E63D96"/>
    <w:rsid w:val="00E840E1"/>
    <w:rsid w:val="00E92D17"/>
    <w:rsid w:val="00E936F5"/>
    <w:rsid w:val="00EB3603"/>
    <w:rsid w:val="00ED04B7"/>
    <w:rsid w:val="00ED1137"/>
    <w:rsid w:val="00ED4478"/>
    <w:rsid w:val="00ED561B"/>
    <w:rsid w:val="00EE0A97"/>
    <w:rsid w:val="00EE3FFF"/>
    <w:rsid w:val="00EF5402"/>
    <w:rsid w:val="00F02D9A"/>
    <w:rsid w:val="00F059A5"/>
    <w:rsid w:val="00F17EB2"/>
    <w:rsid w:val="00F22047"/>
    <w:rsid w:val="00F4239D"/>
    <w:rsid w:val="00F463B3"/>
    <w:rsid w:val="00FA5F33"/>
    <w:rsid w:val="00FB20BF"/>
    <w:rsid w:val="00FB2A2B"/>
    <w:rsid w:val="00FC38CF"/>
    <w:rsid w:val="00FC4D19"/>
    <w:rsid w:val="00FD0919"/>
    <w:rsid w:val="00FD14B3"/>
    <w:rsid w:val="00FE41BC"/>
    <w:rsid w:val="017921D2"/>
    <w:rsid w:val="019E3E53"/>
    <w:rsid w:val="023D7DB8"/>
    <w:rsid w:val="02443763"/>
    <w:rsid w:val="0267467F"/>
    <w:rsid w:val="029B30B0"/>
    <w:rsid w:val="02C000FC"/>
    <w:rsid w:val="02C1529D"/>
    <w:rsid w:val="02DE6CD5"/>
    <w:rsid w:val="03A22C47"/>
    <w:rsid w:val="03A523A7"/>
    <w:rsid w:val="040E2D1A"/>
    <w:rsid w:val="04585FD6"/>
    <w:rsid w:val="046C3194"/>
    <w:rsid w:val="048F64E9"/>
    <w:rsid w:val="04BB5E6B"/>
    <w:rsid w:val="05257B9D"/>
    <w:rsid w:val="053E4F36"/>
    <w:rsid w:val="053F4C70"/>
    <w:rsid w:val="05431FAC"/>
    <w:rsid w:val="05BB3782"/>
    <w:rsid w:val="06042626"/>
    <w:rsid w:val="062244EC"/>
    <w:rsid w:val="06430F24"/>
    <w:rsid w:val="066C6B67"/>
    <w:rsid w:val="07080B2D"/>
    <w:rsid w:val="073C48F2"/>
    <w:rsid w:val="07401B3D"/>
    <w:rsid w:val="077B778B"/>
    <w:rsid w:val="077E4007"/>
    <w:rsid w:val="078A5A19"/>
    <w:rsid w:val="079D3002"/>
    <w:rsid w:val="07DA0BD4"/>
    <w:rsid w:val="08276740"/>
    <w:rsid w:val="082874C6"/>
    <w:rsid w:val="088A2512"/>
    <w:rsid w:val="088E556C"/>
    <w:rsid w:val="08DF4647"/>
    <w:rsid w:val="093A3EFB"/>
    <w:rsid w:val="09FC4DA2"/>
    <w:rsid w:val="0A170AAD"/>
    <w:rsid w:val="0A1F600F"/>
    <w:rsid w:val="0AE86E27"/>
    <w:rsid w:val="0AEB2A92"/>
    <w:rsid w:val="0B043316"/>
    <w:rsid w:val="0B4663FD"/>
    <w:rsid w:val="0B5178BA"/>
    <w:rsid w:val="0B5B7C25"/>
    <w:rsid w:val="0B761AB3"/>
    <w:rsid w:val="0C177586"/>
    <w:rsid w:val="0C226356"/>
    <w:rsid w:val="0C3505CF"/>
    <w:rsid w:val="0C5375C1"/>
    <w:rsid w:val="0C62768C"/>
    <w:rsid w:val="0C7D1BC0"/>
    <w:rsid w:val="0CAA30E9"/>
    <w:rsid w:val="0CB5348B"/>
    <w:rsid w:val="0CFD186D"/>
    <w:rsid w:val="0D073712"/>
    <w:rsid w:val="0D2F0D13"/>
    <w:rsid w:val="0D962381"/>
    <w:rsid w:val="0DC25BB0"/>
    <w:rsid w:val="0E2D358E"/>
    <w:rsid w:val="0E40017D"/>
    <w:rsid w:val="0E497A6D"/>
    <w:rsid w:val="0E961EF2"/>
    <w:rsid w:val="0E9B325C"/>
    <w:rsid w:val="0EB33F31"/>
    <w:rsid w:val="0ECD6351"/>
    <w:rsid w:val="0F3473F7"/>
    <w:rsid w:val="0F39133C"/>
    <w:rsid w:val="0F4E234F"/>
    <w:rsid w:val="0F5051BD"/>
    <w:rsid w:val="0F735B1B"/>
    <w:rsid w:val="10322682"/>
    <w:rsid w:val="10A80B83"/>
    <w:rsid w:val="10D713CB"/>
    <w:rsid w:val="110E2CAB"/>
    <w:rsid w:val="111B49FD"/>
    <w:rsid w:val="115B0823"/>
    <w:rsid w:val="117B32BD"/>
    <w:rsid w:val="118F492C"/>
    <w:rsid w:val="12361417"/>
    <w:rsid w:val="12904ACF"/>
    <w:rsid w:val="12E539E3"/>
    <w:rsid w:val="131474A1"/>
    <w:rsid w:val="13A84262"/>
    <w:rsid w:val="14167CAF"/>
    <w:rsid w:val="142C4977"/>
    <w:rsid w:val="143F1FCF"/>
    <w:rsid w:val="144500FA"/>
    <w:rsid w:val="144E6543"/>
    <w:rsid w:val="14D520D1"/>
    <w:rsid w:val="15672417"/>
    <w:rsid w:val="157034FA"/>
    <w:rsid w:val="158C541A"/>
    <w:rsid w:val="15D533AA"/>
    <w:rsid w:val="15D82AB2"/>
    <w:rsid w:val="15D86CBD"/>
    <w:rsid w:val="15DD5AA8"/>
    <w:rsid w:val="15F75D95"/>
    <w:rsid w:val="15FF2DBE"/>
    <w:rsid w:val="16525FFE"/>
    <w:rsid w:val="167921D8"/>
    <w:rsid w:val="169906C8"/>
    <w:rsid w:val="169D2377"/>
    <w:rsid w:val="16F82595"/>
    <w:rsid w:val="173F73D1"/>
    <w:rsid w:val="17851911"/>
    <w:rsid w:val="17A21CD0"/>
    <w:rsid w:val="17BD474B"/>
    <w:rsid w:val="17D8024F"/>
    <w:rsid w:val="1826633A"/>
    <w:rsid w:val="183B17E5"/>
    <w:rsid w:val="184D1360"/>
    <w:rsid w:val="1850735F"/>
    <w:rsid w:val="18585D7C"/>
    <w:rsid w:val="188750AE"/>
    <w:rsid w:val="18964A2E"/>
    <w:rsid w:val="18D068B5"/>
    <w:rsid w:val="19023D4A"/>
    <w:rsid w:val="19303580"/>
    <w:rsid w:val="194B23F0"/>
    <w:rsid w:val="194E7FDE"/>
    <w:rsid w:val="19503A2C"/>
    <w:rsid w:val="199C09B8"/>
    <w:rsid w:val="199F0811"/>
    <w:rsid w:val="19A1102B"/>
    <w:rsid w:val="1A0C111B"/>
    <w:rsid w:val="1A4938F9"/>
    <w:rsid w:val="1A8B1A75"/>
    <w:rsid w:val="1A941CB6"/>
    <w:rsid w:val="1AE111BD"/>
    <w:rsid w:val="1AFF5DEA"/>
    <w:rsid w:val="1B0B29CB"/>
    <w:rsid w:val="1B1222C8"/>
    <w:rsid w:val="1B190B71"/>
    <w:rsid w:val="1B2A2307"/>
    <w:rsid w:val="1B434B0B"/>
    <w:rsid w:val="1B4623BA"/>
    <w:rsid w:val="1B6D1A9E"/>
    <w:rsid w:val="1BDB1B82"/>
    <w:rsid w:val="1C1759CF"/>
    <w:rsid w:val="1C2931B1"/>
    <w:rsid w:val="1C66307B"/>
    <w:rsid w:val="1C8B372E"/>
    <w:rsid w:val="1C9D6A04"/>
    <w:rsid w:val="1CAE4160"/>
    <w:rsid w:val="1CAE4DB9"/>
    <w:rsid w:val="1CB77239"/>
    <w:rsid w:val="1CC42A25"/>
    <w:rsid w:val="1CD03C5E"/>
    <w:rsid w:val="1CEF1504"/>
    <w:rsid w:val="1D1A28CA"/>
    <w:rsid w:val="1D553353"/>
    <w:rsid w:val="1D805F4C"/>
    <w:rsid w:val="1D886CCD"/>
    <w:rsid w:val="1DC643EF"/>
    <w:rsid w:val="1DE67B7B"/>
    <w:rsid w:val="1E4C39AF"/>
    <w:rsid w:val="1E4D3664"/>
    <w:rsid w:val="1EDF1EF9"/>
    <w:rsid w:val="1EF255CF"/>
    <w:rsid w:val="1F147AD2"/>
    <w:rsid w:val="1F366CEF"/>
    <w:rsid w:val="1F390212"/>
    <w:rsid w:val="1F4F73E7"/>
    <w:rsid w:val="1FE671A1"/>
    <w:rsid w:val="1FFE28B6"/>
    <w:rsid w:val="20835674"/>
    <w:rsid w:val="20A3798E"/>
    <w:rsid w:val="20BA2F5F"/>
    <w:rsid w:val="20FE75AF"/>
    <w:rsid w:val="21005780"/>
    <w:rsid w:val="21396280"/>
    <w:rsid w:val="215B0374"/>
    <w:rsid w:val="21853796"/>
    <w:rsid w:val="21902948"/>
    <w:rsid w:val="222808C6"/>
    <w:rsid w:val="22354C65"/>
    <w:rsid w:val="223C7285"/>
    <w:rsid w:val="22494643"/>
    <w:rsid w:val="22531511"/>
    <w:rsid w:val="22666435"/>
    <w:rsid w:val="22C62216"/>
    <w:rsid w:val="22C653D1"/>
    <w:rsid w:val="22D16806"/>
    <w:rsid w:val="22D800D9"/>
    <w:rsid w:val="23063D28"/>
    <w:rsid w:val="2316145D"/>
    <w:rsid w:val="23574CA9"/>
    <w:rsid w:val="23A20C20"/>
    <w:rsid w:val="23E61E60"/>
    <w:rsid w:val="241679FF"/>
    <w:rsid w:val="241768C5"/>
    <w:rsid w:val="2478325D"/>
    <w:rsid w:val="24B9324F"/>
    <w:rsid w:val="24DD5337"/>
    <w:rsid w:val="25040899"/>
    <w:rsid w:val="252F4E22"/>
    <w:rsid w:val="25801E94"/>
    <w:rsid w:val="25B7734B"/>
    <w:rsid w:val="25D72D18"/>
    <w:rsid w:val="26372137"/>
    <w:rsid w:val="265139F9"/>
    <w:rsid w:val="265C6D11"/>
    <w:rsid w:val="26A90186"/>
    <w:rsid w:val="26B8383A"/>
    <w:rsid w:val="2708449D"/>
    <w:rsid w:val="270F4D8C"/>
    <w:rsid w:val="272E4CA4"/>
    <w:rsid w:val="273019BD"/>
    <w:rsid w:val="27A340AF"/>
    <w:rsid w:val="27AC1AA9"/>
    <w:rsid w:val="27F15616"/>
    <w:rsid w:val="28153B00"/>
    <w:rsid w:val="282A5C94"/>
    <w:rsid w:val="28555704"/>
    <w:rsid w:val="28866D2E"/>
    <w:rsid w:val="2890300C"/>
    <w:rsid w:val="28BD2D87"/>
    <w:rsid w:val="28F53370"/>
    <w:rsid w:val="29B11399"/>
    <w:rsid w:val="29B158D5"/>
    <w:rsid w:val="2A1C2FF1"/>
    <w:rsid w:val="2A7F643A"/>
    <w:rsid w:val="2AA85DFD"/>
    <w:rsid w:val="2AB211E7"/>
    <w:rsid w:val="2AE07F33"/>
    <w:rsid w:val="2B625206"/>
    <w:rsid w:val="2B6D2B0C"/>
    <w:rsid w:val="2B9148A1"/>
    <w:rsid w:val="2BB40559"/>
    <w:rsid w:val="2CBE791E"/>
    <w:rsid w:val="2CDD5D05"/>
    <w:rsid w:val="2CE56811"/>
    <w:rsid w:val="2CE7044E"/>
    <w:rsid w:val="2D2B6B60"/>
    <w:rsid w:val="2D8057FC"/>
    <w:rsid w:val="2D8B79E1"/>
    <w:rsid w:val="2DAD206C"/>
    <w:rsid w:val="2DB16AB2"/>
    <w:rsid w:val="2DE8269E"/>
    <w:rsid w:val="2E733F32"/>
    <w:rsid w:val="2E7B1BD9"/>
    <w:rsid w:val="2EB93142"/>
    <w:rsid w:val="2EBB4C0D"/>
    <w:rsid w:val="2EFF728A"/>
    <w:rsid w:val="2F3D5DD9"/>
    <w:rsid w:val="2F41771B"/>
    <w:rsid w:val="2F50219B"/>
    <w:rsid w:val="2F5434BD"/>
    <w:rsid w:val="303C52D1"/>
    <w:rsid w:val="304269E2"/>
    <w:rsid w:val="30CA18B0"/>
    <w:rsid w:val="31394D34"/>
    <w:rsid w:val="315943A2"/>
    <w:rsid w:val="321437DF"/>
    <w:rsid w:val="32202A27"/>
    <w:rsid w:val="32601B27"/>
    <w:rsid w:val="328400ED"/>
    <w:rsid w:val="3335205F"/>
    <w:rsid w:val="33407BBC"/>
    <w:rsid w:val="334A7650"/>
    <w:rsid w:val="336E4A6E"/>
    <w:rsid w:val="33A53FA2"/>
    <w:rsid w:val="33A9037A"/>
    <w:rsid w:val="33E603C4"/>
    <w:rsid w:val="34122FDE"/>
    <w:rsid w:val="34294029"/>
    <w:rsid w:val="342E04ED"/>
    <w:rsid w:val="34671E07"/>
    <w:rsid w:val="34831CC1"/>
    <w:rsid w:val="34C040AD"/>
    <w:rsid w:val="34D5638A"/>
    <w:rsid w:val="35356326"/>
    <w:rsid w:val="357855BB"/>
    <w:rsid w:val="361E37CA"/>
    <w:rsid w:val="363523D7"/>
    <w:rsid w:val="36621665"/>
    <w:rsid w:val="36A965B8"/>
    <w:rsid w:val="36B23288"/>
    <w:rsid w:val="36C157AB"/>
    <w:rsid w:val="370E594E"/>
    <w:rsid w:val="379049A9"/>
    <w:rsid w:val="37F22385"/>
    <w:rsid w:val="383915A0"/>
    <w:rsid w:val="38AB2871"/>
    <w:rsid w:val="38F124EB"/>
    <w:rsid w:val="394C65E8"/>
    <w:rsid w:val="395A4FF2"/>
    <w:rsid w:val="395D559B"/>
    <w:rsid w:val="39617915"/>
    <w:rsid w:val="39E90C92"/>
    <w:rsid w:val="3A2F746C"/>
    <w:rsid w:val="3A8B58B3"/>
    <w:rsid w:val="3AAF2AAC"/>
    <w:rsid w:val="3B322449"/>
    <w:rsid w:val="3BCB40A0"/>
    <w:rsid w:val="3C3358BE"/>
    <w:rsid w:val="3C5A36EA"/>
    <w:rsid w:val="3CA526D9"/>
    <w:rsid w:val="3CB235A6"/>
    <w:rsid w:val="3CBA51D9"/>
    <w:rsid w:val="3CE03EAC"/>
    <w:rsid w:val="3D2B225A"/>
    <w:rsid w:val="3D356BFD"/>
    <w:rsid w:val="3D465530"/>
    <w:rsid w:val="3D4F5D28"/>
    <w:rsid w:val="3D667E92"/>
    <w:rsid w:val="3DA27B56"/>
    <w:rsid w:val="3DA62CDD"/>
    <w:rsid w:val="3DD23F65"/>
    <w:rsid w:val="3DF8538F"/>
    <w:rsid w:val="3E197EBB"/>
    <w:rsid w:val="3E5320A2"/>
    <w:rsid w:val="3ED32485"/>
    <w:rsid w:val="3F555996"/>
    <w:rsid w:val="3FCE6A39"/>
    <w:rsid w:val="40AD51E1"/>
    <w:rsid w:val="41060700"/>
    <w:rsid w:val="41241C0A"/>
    <w:rsid w:val="41364C2B"/>
    <w:rsid w:val="41857CC5"/>
    <w:rsid w:val="41E20169"/>
    <w:rsid w:val="41E2071D"/>
    <w:rsid w:val="42114818"/>
    <w:rsid w:val="421E2757"/>
    <w:rsid w:val="426F04E1"/>
    <w:rsid w:val="42CD063E"/>
    <w:rsid w:val="43256F4F"/>
    <w:rsid w:val="43AB58CC"/>
    <w:rsid w:val="4435793D"/>
    <w:rsid w:val="44731E89"/>
    <w:rsid w:val="449D43D9"/>
    <w:rsid w:val="44D359AE"/>
    <w:rsid w:val="44EE4AE4"/>
    <w:rsid w:val="45017D6A"/>
    <w:rsid w:val="450320DD"/>
    <w:rsid w:val="453D1D00"/>
    <w:rsid w:val="459822A8"/>
    <w:rsid w:val="45A03BE8"/>
    <w:rsid w:val="45FE11E8"/>
    <w:rsid w:val="460B3BFA"/>
    <w:rsid w:val="46AE2A2D"/>
    <w:rsid w:val="46C069E0"/>
    <w:rsid w:val="46C61839"/>
    <w:rsid w:val="47020A00"/>
    <w:rsid w:val="471C2122"/>
    <w:rsid w:val="474F1ABB"/>
    <w:rsid w:val="48412F04"/>
    <w:rsid w:val="4853430D"/>
    <w:rsid w:val="486D52A3"/>
    <w:rsid w:val="48D148B2"/>
    <w:rsid w:val="491566E5"/>
    <w:rsid w:val="492D40FE"/>
    <w:rsid w:val="4A1B04DA"/>
    <w:rsid w:val="4A1F3D6C"/>
    <w:rsid w:val="4A4A7A2A"/>
    <w:rsid w:val="4AA515D8"/>
    <w:rsid w:val="4AC75B33"/>
    <w:rsid w:val="4B4131A8"/>
    <w:rsid w:val="4B916815"/>
    <w:rsid w:val="4BBD27FF"/>
    <w:rsid w:val="4BDE3349"/>
    <w:rsid w:val="4BE360DE"/>
    <w:rsid w:val="4C3628AA"/>
    <w:rsid w:val="4CAD0399"/>
    <w:rsid w:val="4CC477F9"/>
    <w:rsid w:val="4CDE18BB"/>
    <w:rsid w:val="4D073D10"/>
    <w:rsid w:val="4D263EB1"/>
    <w:rsid w:val="4D3555B7"/>
    <w:rsid w:val="4D6D4F1C"/>
    <w:rsid w:val="4D9C4B4E"/>
    <w:rsid w:val="4DB13853"/>
    <w:rsid w:val="4DD95A2D"/>
    <w:rsid w:val="4E6C589C"/>
    <w:rsid w:val="4E8D4A68"/>
    <w:rsid w:val="4E8D7817"/>
    <w:rsid w:val="4EDD4932"/>
    <w:rsid w:val="4EF94214"/>
    <w:rsid w:val="4F097429"/>
    <w:rsid w:val="4F0C5DF5"/>
    <w:rsid w:val="4F1F208B"/>
    <w:rsid w:val="4F2C5C89"/>
    <w:rsid w:val="4F762BE7"/>
    <w:rsid w:val="4F792780"/>
    <w:rsid w:val="4F943618"/>
    <w:rsid w:val="4FE63723"/>
    <w:rsid w:val="503A1006"/>
    <w:rsid w:val="50645E7B"/>
    <w:rsid w:val="506F2F93"/>
    <w:rsid w:val="508B6324"/>
    <w:rsid w:val="50BD0B00"/>
    <w:rsid w:val="5106072E"/>
    <w:rsid w:val="515113F2"/>
    <w:rsid w:val="518305A6"/>
    <w:rsid w:val="51F3298F"/>
    <w:rsid w:val="51FB59DE"/>
    <w:rsid w:val="520870EA"/>
    <w:rsid w:val="521A6A5F"/>
    <w:rsid w:val="52653B58"/>
    <w:rsid w:val="52A15AB8"/>
    <w:rsid w:val="52C91D84"/>
    <w:rsid w:val="52D5127E"/>
    <w:rsid w:val="531C35FC"/>
    <w:rsid w:val="53237380"/>
    <w:rsid w:val="537D6666"/>
    <w:rsid w:val="53B11BF9"/>
    <w:rsid w:val="53F635BB"/>
    <w:rsid w:val="541B00ED"/>
    <w:rsid w:val="544E42B8"/>
    <w:rsid w:val="54A32A80"/>
    <w:rsid w:val="54E26611"/>
    <w:rsid w:val="551E1D26"/>
    <w:rsid w:val="552057E9"/>
    <w:rsid w:val="55226984"/>
    <w:rsid w:val="553D1FDB"/>
    <w:rsid w:val="556C3965"/>
    <w:rsid w:val="558234C2"/>
    <w:rsid w:val="558B7E01"/>
    <w:rsid w:val="559A6C73"/>
    <w:rsid w:val="559F3273"/>
    <w:rsid w:val="55E114AF"/>
    <w:rsid w:val="560E57F0"/>
    <w:rsid w:val="567C55C6"/>
    <w:rsid w:val="568B7A5B"/>
    <w:rsid w:val="56FA081E"/>
    <w:rsid w:val="5711701F"/>
    <w:rsid w:val="57135906"/>
    <w:rsid w:val="571B1475"/>
    <w:rsid w:val="579C2A00"/>
    <w:rsid w:val="57C261C5"/>
    <w:rsid w:val="57D976AA"/>
    <w:rsid w:val="58050710"/>
    <w:rsid w:val="581C2F8D"/>
    <w:rsid w:val="581F16B0"/>
    <w:rsid w:val="58304067"/>
    <w:rsid w:val="583E0A44"/>
    <w:rsid w:val="589F0CE7"/>
    <w:rsid w:val="58AD761B"/>
    <w:rsid w:val="58B1120C"/>
    <w:rsid w:val="58FD3D07"/>
    <w:rsid w:val="59D906C6"/>
    <w:rsid w:val="5A5276F9"/>
    <w:rsid w:val="5ABA5F84"/>
    <w:rsid w:val="5AE32410"/>
    <w:rsid w:val="5AE37745"/>
    <w:rsid w:val="5B6566EC"/>
    <w:rsid w:val="5B702403"/>
    <w:rsid w:val="5B7B1773"/>
    <w:rsid w:val="5B8F4A61"/>
    <w:rsid w:val="5BA544CD"/>
    <w:rsid w:val="5BAC15F1"/>
    <w:rsid w:val="5BBB4BDC"/>
    <w:rsid w:val="5C3A5235"/>
    <w:rsid w:val="5CC361A7"/>
    <w:rsid w:val="5CD530D0"/>
    <w:rsid w:val="5D607684"/>
    <w:rsid w:val="5D633A21"/>
    <w:rsid w:val="5D786E37"/>
    <w:rsid w:val="5DC762C4"/>
    <w:rsid w:val="5DDA0B60"/>
    <w:rsid w:val="5E1B6E61"/>
    <w:rsid w:val="5E1E3054"/>
    <w:rsid w:val="5E476764"/>
    <w:rsid w:val="5E712E83"/>
    <w:rsid w:val="5EAC103C"/>
    <w:rsid w:val="5F2B4373"/>
    <w:rsid w:val="5F522395"/>
    <w:rsid w:val="5FF937ED"/>
    <w:rsid w:val="606C7865"/>
    <w:rsid w:val="60F339B2"/>
    <w:rsid w:val="61094EBA"/>
    <w:rsid w:val="610B0E4C"/>
    <w:rsid w:val="613448D0"/>
    <w:rsid w:val="617A0B95"/>
    <w:rsid w:val="61A1177C"/>
    <w:rsid w:val="62063372"/>
    <w:rsid w:val="624C5924"/>
    <w:rsid w:val="62541E91"/>
    <w:rsid w:val="627D1462"/>
    <w:rsid w:val="62EB6097"/>
    <w:rsid w:val="63122846"/>
    <w:rsid w:val="63201EDE"/>
    <w:rsid w:val="636D182B"/>
    <w:rsid w:val="63770DC8"/>
    <w:rsid w:val="63C2051A"/>
    <w:rsid w:val="63E75C7D"/>
    <w:rsid w:val="64051B67"/>
    <w:rsid w:val="64491972"/>
    <w:rsid w:val="646551CE"/>
    <w:rsid w:val="64AC49B5"/>
    <w:rsid w:val="64AE031B"/>
    <w:rsid w:val="656535DE"/>
    <w:rsid w:val="65AA31C7"/>
    <w:rsid w:val="65EE2C04"/>
    <w:rsid w:val="662119F4"/>
    <w:rsid w:val="66262AA8"/>
    <w:rsid w:val="668E0AB9"/>
    <w:rsid w:val="66930917"/>
    <w:rsid w:val="66D23B8F"/>
    <w:rsid w:val="66F9672F"/>
    <w:rsid w:val="6714698D"/>
    <w:rsid w:val="672E3AC4"/>
    <w:rsid w:val="674973EE"/>
    <w:rsid w:val="67993216"/>
    <w:rsid w:val="682352DB"/>
    <w:rsid w:val="68302E3B"/>
    <w:rsid w:val="683B0B19"/>
    <w:rsid w:val="68CA4030"/>
    <w:rsid w:val="68DD1590"/>
    <w:rsid w:val="6937532B"/>
    <w:rsid w:val="69AB3772"/>
    <w:rsid w:val="69C82C54"/>
    <w:rsid w:val="69DC463F"/>
    <w:rsid w:val="69F43BF8"/>
    <w:rsid w:val="6A3150D7"/>
    <w:rsid w:val="6A4570E6"/>
    <w:rsid w:val="6A552BEB"/>
    <w:rsid w:val="6AB00CFC"/>
    <w:rsid w:val="6AEC7415"/>
    <w:rsid w:val="6B1034A9"/>
    <w:rsid w:val="6B174826"/>
    <w:rsid w:val="6BE74147"/>
    <w:rsid w:val="6C18273E"/>
    <w:rsid w:val="6CCB6778"/>
    <w:rsid w:val="6CF37965"/>
    <w:rsid w:val="6CF65031"/>
    <w:rsid w:val="6D000FB7"/>
    <w:rsid w:val="6D1915F4"/>
    <w:rsid w:val="6D307112"/>
    <w:rsid w:val="6D7E5FEF"/>
    <w:rsid w:val="6D8C221C"/>
    <w:rsid w:val="6DA1338C"/>
    <w:rsid w:val="6DB61924"/>
    <w:rsid w:val="6DD73702"/>
    <w:rsid w:val="6E0B143E"/>
    <w:rsid w:val="6E2149F2"/>
    <w:rsid w:val="6E226661"/>
    <w:rsid w:val="6E2E5053"/>
    <w:rsid w:val="6E542604"/>
    <w:rsid w:val="6EB116AA"/>
    <w:rsid w:val="6EE7711B"/>
    <w:rsid w:val="6F190DB5"/>
    <w:rsid w:val="6F460871"/>
    <w:rsid w:val="6F93017C"/>
    <w:rsid w:val="6F995E28"/>
    <w:rsid w:val="6FCE44A2"/>
    <w:rsid w:val="6FD93C6C"/>
    <w:rsid w:val="6FEC49FF"/>
    <w:rsid w:val="701B46DC"/>
    <w:rsid w:val="7021126F"/>
    <w:rsid w:val="70276AEA"/>
    <w:rsid w:val="705C3F91"/>
    <w:rsid w:val="708178AD"/>
    <w:rsid w:val="70893AA1"/>
    <w:rsid w:val="709D27AC"/>
    <w:rsid w:val="70A04FFA"/>
    <w:rsid w:val="714207C2"/>
    <w:rsid w:val="717505D4"/>
    <w:rsid w:val="71976FBC"/>
    <w:rsid w:val="71A11CDF"/>
    <w:rsid w:val="71AB496F"/>
    <w:rsid w:val="723E6074"/>
    <w:rsid w:val="72733DF9"/>
    <w:rsid w:val="728B21D7"/>
    <w:rsid w:val="72B50C37"/>
    <w:rsid w:val="732E711B"/>
    <w:rsid w:val="739D4FE9"/>
    <w:rsid w:val="73CD460B"/>
    <w:rsid w:val="740B2D24"/>
    <w:rsid w:val="743131AC"/>
    <w:rsid w:val="74443116"/>
    <w:rsid w:val="74875E83"/>
    <w:rsid w:val="755A1340"/>
    <w:rsid w:val="759806D3"/>
    <w:rsid w:val="759A7538"/>
    <w:rsid w:val="759F39AC"/>
    <w:rsid w:val="760C70D3"/>
    <w:rsid w:val="76123AEC"/>
    <w:rsid w:val="761A7BDF"/>
    <w:rsid w:val="762E53EE"/>
    <w:rsid w:val="763B698A"/>
    <w:rsid w:val="76456FD5"/>
    <w:rsid w:val="76C231C0"/>
    <w:rsid w:val="76E92DC1"/>
    <w:rsid w:val="77082336"/>
    <w:rsid w:val="77142A85"/>
    <w:rsid w:val="77150D8F"/>
    <w:rsid w:val="776157E0"/>
    <w:rsid w:val="77B613B4"/>
    <w:rsid w:val="782E17B3"/>
    <w:rsid w:val="78B651FF"/>
    <w:rsid w:val="79804375"/>
    <w:rsid w:val="7A4B4A1C"/>
    <w:rsid w:val="7A65632E"/>
    <w:rsid w:val="7A6A1D7F"/>
    <w:rsid w:val="7A6B0D7E"/>
    <w:rsid w:val="7AEC6A86"/>
    <w:rsid w:val="7B0C1EFB"/>
    <w:rsid w:val="7B294A07"/>
    <w:rsid w:val="7B3B215E"/>
    <w:rsid w:val="7B663C87"/>
    <w:rsid w:val="7BA16238"/>
    <w:rsid w:val="7BA91977"/>
    <w:rsid w:val="7BB395E9"/>
    <w:rsid w:val="7BB80DCC"/>
    <w:rsid w:val="7C2200BE"/>
    <w:rsid w:val="7C2B14B9"/>
    <w:rsid w:val="7D045876"/>
    <w:rsid w:val="7D426263"/>
    <w:rsid w:val="7D42745C"/>
    <w:rsid w:val="7D4D6859"/>
    <w:rsid w:val="7D555141"/>
    <w:rsid w:val="7E4E45F3"/>
    <w:rsid w:val="7E74705F"/>
    <w:rsid w:val="7EA77F51"/>
    <w:rsid w:val="7F111791"/>
    <w:rsid w:val="7F141E9D"/>
    <w:rsid w:val="7F3D2410"/>
    <w:rsid w:val="7FD74428"/>
    <w:rsid w:val="7FF32A22"/>
    <w:rsid w:val="E9BD9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7"/>
    <w:qFormat/>
    <w:uiPriority w:val="0"/>
    <w:pPr>
      <w:jc w:val="left"/>
    </w:pPr>
  </w:style>
  <w:style w:type="paragraph" w:styleId="5">
    <w:name w:val="endnote text"/>
    <w:basedOn w:val="1"/>
    <w:link w:val="23"/>
    <w:qFormat/>
    <w:uiPriority w:val="0"/>
    <w:pPr>
      <w:snapToGrid w:val="0"/>
      <w:jc w:val="left"/>
    </w:pPr>
  </w:style>
  <w:style w:type="paragraph" w:styleId="6">
    <w:name w:val="Balloon Text"/>
    <w:basedOn w:val="1"/>
    <w:link w:val="18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10">
    <w:name w:val="annotation subject"/>
    <w:basedOn w:val="4"/>
    <w:next w:val="4"/>
    <w:link w:val="19"/>
    <w:qFormat/>
    <w:uiPriority w:val="0"/>
    <w:rPr>
      <w:b/>
      <w:bCs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endnote reference"/>
    <w:basedOn w:val="13"/>
    <w:qFormat/>
    <w:uiPriority w:val="0"/>
    <w:rPr>
      <w:vertAlign w:val="superscript"/>
    </w:rPr>
  </w:style>
  <w:style w:type="character" w:styleId="15">
    <w:name w:val="annotation reference"/>
    <w:qFormat/>
    <w:uiPriority w:val="0"/>
    <w:rPr>
      <w:sz w:val="21"/>
      <w:szCs w:val="21"/>
    </w:rPr>
  </w:style>
  <w:style w:type="character" w:styleId="16">
    <w:name w:val="footnote reference"/>
    <w:basedOn w:val="13"/>
    <w:qFormat/>
    <w:uiPriority w:val="0"/>
    <w:rPr>
      <w:vertAlign w:val="superscript"/>
    </w:rPr>
  </w:style>
  <w:style w:type="character" w:customStyle="1" w:styleId="17">
    <w:name w:val="批注文字 字符"/>
    <w:link w:val="4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8">
    <w:name w:val="批注框文本 字符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9">
    <w:name w:val="批注主题 字符"/>
    <w:link w:val="10"/>
    <w:qFormat/>
    <w:uiPriority w:val="0"/>
    <w:rPr>
      <w:rFonts w:ascii="Calibri" w:hAnsi="Calibri"/>
      <w:b/>
      <w:bCs/>
      <w:kern w:val="2"/>
      <w:sz w:val="21"/>
      <w:szCs w:val="24"/>
    </w:rPr>
  </w:style>
  <w:style w:type="paragraph" w:customStyle="1" w:styleId="20">
    <w:name w:val="样式1"/>
    <w:basedOn w:val="2"/>
    <w:next w:val="1"/>
    <w:qFormat/>
    <w:uiPriority w:val="0"/>
    <w:rPr>
      <w:rFonts w:eastAsia="黑体"/>
      <w:sz w:val="24"/>
    </w:rPr>
  </w:style>
  <w:style w:type="paragraph" w:customStyle="1" w:styleId="21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styleId="22">
    <w:name w:val="Placeholder Text"/>
    <w:basedOn w:val="13"/>
    <w:unhideWhenUsed/>
    <w:qFormat/>
    <w:uiPriority w:val="99"/>
    <w:rPr>
      <w:color w:val="808080"/>
    </w:rPr>
  </w:style>
  <w:style w:type="character" w:customStyle="1" w:styleId="23">
    <w:name w:val="尾注文本 字符"/>
    <w:basedOn w:val="13"/>
    <w:link w:val="5"/>
    <w:qFormat/>
    <w:uiPriority w:val="0"/>
    <w:rPr>
      <w:rFonts w:ascii="Calibri" w:hAnsi="Calibri"/>
      <w:kern w:val="2"/>
      <w:sz w:val="21"/>
      <w:szCs w:val="24"/>
    </w:rPr>
  </w:style>
  <w:style w:type="table" w:customStyle="1" w:styleId="24">
    <w:name w:val="网格表 1 浅色1"/>
    <w:basedOn w:val="11"/>
    <w:qFormat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25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9903</Words>
  <Characters>3223</Characters>
  <Lines>26</Lines>
  <Paragraphs>26</Paragraphs>
  <TotalTime>12</TotalTime>
  <ScaleCrop>false</ScaleCrop>
  <LinksUpToDate>false</LinksUpToDate>
  <CharactersWithSpaces>13100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2022-05-31T17:38:00Z</dcterms:created>
  <dc:creator>Administrator</dc:creator>
  <cp:lastModifiedBy>admin</cp:lastModifiedBy>
  <cp:lastPrinted>2022-04-23T02:15:00Z</cp:lastPrinted>
  <dcterms:modified xsi:type="dcterms:W3CDTF">2022-06-21T15:12:26Z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68D72C446958418AA7DCF65BEE4D22A7</vt:lpwstr>
  </property>
</Properties>
</file>