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afterLines="150" w:line="360" w:lineRule="auto"/>
        <w:contextualSpacing/>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2</w:t>
      </w:r>
      <w:bookmarkStart w:id="0" w:name="_GoBack"/>
      <w:bookmarkEnd w:id="0"/>
      <w:r>
        <w:rPr>
          <w:rFonts w:hint="eastAsia" w:ascii="仿宋" w:hAnsi="仿宋" w:eastAsia="仿宋"/>
          <w:sz w:val="32"/>
          <w:szCs w:val="32"/>
        </w:rPr>
        <w:t>:</w:t>
      </w:r>
    </w:p>
    <w:p>
      <w:pPr>
        <w:spacing w:before="480" w:afterLines="150" w:line="360" w:lineRule="auto"/>
        <w:contextualSpacing/>
        <w:jc w:val="center"/>
        <w:rPr>
          <w:rFonts w:ascii="华文中宋" w:hAnsi="华文中宋" w:eastAsia="华文中宋"/>
          <w:b/>
          <w:sz w:val="44"/>
          <w:szCs w:val="44"/>
        </w:rPr>
      </w:pPr>
      <w:r>
        <w:rPr>
          <w:rFonts w:hint="eastAsia" w:ascii="华文中宋" w:hAnsi="华文中宋" w:eastAsia="华文中宋"/>
          <w:b/>
          <w:sz w:val="44"/>
          <w:szCs w:val="44"/>
        </w:rPr>
        <w:t>《基层人力资源和社会保障综合服务场所设施设备要求》行业标准编制说明</w:t>
      </w:r>
    </w:p>
    <w:p>
      <w:pPr>
        <w:pStyle w:val="22"/>
        <w:tabs>
          <w:tab w:val="left" w:pos="1134"/>
        </w:tabs>
        <w:spacing w:line="360" w:lineRule="auto"/>
        <w:ind w:left="600" w:firstLine="0" w:firstLineChars="0"/>
        <w:contextualSpacing/>
        <w:jc w:val="left"/>
        <w:outlineLvl w:val="0"/>
        <w:rPr>
          <w:rFonts w:ascii="黑体" w:hAnsi="黑体" w:eastAsia="黑体"/>
          <w:b/>
          <w:sz w:val="30"/>
          <w:szCs w:val="30"/>
        </w:rPr>
      </w:pPr>
      <w:r>
        <w:rPr>
          <w:rFonts w:hint="eastAsia" w:ascii="黑体" w:hAnsi="黑体" w:eastAsia="黑体"/>
          <w:b/>
          <w:sz w:val="30"/>
          <w:szCs w:val="30"/>
        </w:rPr>
        <w:t>一、任务来源</w:t>
      </w:r>
    </w:p>
    <w:p>
      <w:pPr>
        <w:pStyle w:val="22"/>
        <w:spacing w:line="360" w:lineRule="auto"/>
        <w:ind w:firstLine="600"/>
        <w:contextualSpacing/>
        <w:jc w:val="left"/>
        <w:rPr>
          <w:rFonts w:ascii="仿宋" w:hAnsi="仿宋" w:eastAsia="仿宋"/>
          <w:sz w:val="30"/>
          <w:szCs w:val="30"/>
        </w:rPr>
      </w:pPr>
      <w:r>
        <w:rPr>
          <w:rFonts w:hint="eastAsia" w:ascii="仿宋" w:hAnsi="仿宋" w:eastAsia="仿宋"/>
          <w:sz w:val="30"/>
          <w:szCs w:val="30"/>
        </w:rPr>
        <w:t>行业标准《基层公共服务平台设施设备规范》于2013年列入人力资源和社会保障标准化管理委员会行业标准编制计划，项目编号为201310201。</w:t>
      </w:r>
    </w:p>
    <w:p>
      <w:pPr>
        <w:pStyle w:val="22"/>
        <w:spacing w:line="360" w:lineRule="auto"/>
        <w:ind w:firstLine="640"/>
        <w:contextualSpacing/>
        <w:jc w:val="left"/>
        <w:rPr>
          <w:rFonts w:ascii="仿宋" w:hAnsi="仿宋" w:eastAsia="仿宋"/>
          <w:sz w:val="30"/>
          <w:szCs w:val="30"/>
        </w:rPr>
      </w:pPr>
      <w:r>
        <w:rPr>
          <w:rFonts w:hint="eastAsia" w:ascii="仿宋_GB2312" w:eastAsia="仿宋_GB2312"/>
          <w:sz w:val="32"/>
          <w:szCs w:val="32"/>
        </w:rPr>
        <w:t>本标准由人力资源和社会保障部提出并归口，</w:t>
      </w:r>
      <w:r>
        <w:rPr>
          <w:rFonts w:hint="eastAsia" w:ascii="仿宋" w:hAnsi="仿宋" w:eastAsia="仿宋"/>
          <w:sz w:val="30"/>
          <w:szCs w:val="30"/>
        </w:rPr>
        <w:t>中国劳动保障科学研究院起草。</w:t>
      </w:r>
    </w:p>
    <w:p>
      <w:pPr>
        <w:pStyle w:val="22"/>
        <w:spacing w:line="360" w:lineRule="auto"/>
        <w:ind w:firstLine="600"/>
        <w:contextualSpacing/>
        <w:jc w:val="left"/>
        <w:rPr>
          <w:rFonts w:ascii="仿宋" w:hAnsi="仿宋" w:eastAsia="仿宋"/>
          <w:sz w:val="30"/>
          <w:szCs w:val="30"/>
        </w:rPr>
      </w:pPr>
      <w:r>
        <w:rPr>
          <w:rFonts w:hint="eastAsia" w:ascii="仿宋" w:hAnsi="仿宋" w:eastAsia="仿宋"/>
          <w:sz w:val="30"/>
          <w:szCs w:val="30"/>
        </w:rPr>
        <w:t>本标准为推荐性行业标准，是我国人力资源社会保障基层公共服务建设中急需制定的基础标准之一，</w:t>
      </w:r>
      <w:r>
        <w:rPr>
          <w:rFonts w:ascii="仿宋" w:hAnsi="仿宋" w:eastAsia="仿宋"/>
          <w:sz w:val="30"/>
          <w:szCs w:val="30"/>
        </w:rPr>
        <w:t>适用于</w:t>
      </w:r>
      <w:r>
        <w:rPr>
          <w:rFonts w:hint="eastAsia" w:ascii="仿宋" w:hAnsi="仿宋" w:eastAsia="仿宋"/>
          <w:sz w:val="30"/>
          <w:szCs w:val="30"/>
        </w:rPr>
        <w:t>基层人力资源和社会保障综合服务场所的新建、改建和扩建。</w:t>
      </w:r>
    </w:p>
    <w:p>
      <w:pPr>
        <w:pStyle w:val="22"/>
        <w:tabs>
          <w:tab w:val="left" w:pos="1134"/>
        </w:tabs>
        <w:spacing w:line="360" w:lineRule="auto"/>
        <w:ind w:left="600" w:firstLine="0" w:firstLineChars="0"/>
        <w:contextualSpacing/>
        <w:jc w:val="left"/>
        <w:outlineLvl w:val="0"/>
        <w:rPr>
          <w:rFonts w:ascii="黑体" w:hAnsi="黑体" w:eastAsia="黑体"/>
          <w:b/>
          <w:sz w:val="30"/>
          <w:szCs w:val="30"/>
        </w:rPr>
      </w:pPr>
      <w:r>
        <w:rPr>
          <w:rFonts w:hint="eastAsia" w:ascii="黑体" w:hAnsi="黑体" w:eastAsia="黑体"/>
          <w:b/>
          <w:sz w:val="30"/>
          <w:szCs w:val="30"/>
        </w:rPr>
        <w:t>二、编制的目的和意义</w:t>
      </w:r>
    </w:p>
    <w:p>
      <w:pPr>
        <w:pStyle w:val="22"/>
        <w:spacing w:line="360" w:lineRule="auto"/>
        <w:ind w:firstLine="600"/>
        <w:contextualSpacing/>
        <w:jc w:val="left"/>
        <w:rPr>
          <w:rFonts w:ascii="仿宋" w:hAnsi="仿宋" w:eastAsia="仿宋"/>
          <w:sz w:val="30"/>
          <w:szCs w:val="30"/>
        </w:rPr>
      </w:pPr>
      <w:r>
        <w:rPr>
          <w:rFonts w:hint="eastAsia" w:ascii="仿宋" w:hAnsi="仿宋" w:eastAsia="仿宋"/>
          <w:sz w:val="30"/>
          <w:szCs w:val="30"/>
        </w:rPr>
        <w:t>人力资源和社会保障基层公共服务平台建设是基本公共服务体系建设的重要组成部分，近年来，基层人力资源和社会保障综合服务平台在推动人力资源和社会保障等民生政策落实中发挥着越来越重要的作用。随着基层人力资源和社会保障综合场所设施建设的稳步推进，基层人力资源和社会保障服务的广泛开展，服务场所规范化和标准化的需求越来越高，日益成为促进资源合理配置、提升公共服务水平、推进公共服务均等化的前提和基础。</w:t>
      </w:r>
      <w:r>
        <w:rPr>
          <w:rFonts w:ascii="仿宋" w:hAnsi="仿宋" w:eastAsia="仿宋"/>
          <w:sz w:val="30"/>
          <w:szCs w:val="30"/>
        </w:rPr>
        <w:t xml:space="preserve"> </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加强基层人力资源和社会保障综合服务场所设施设备标准化建设是人力资源和社会保障行政部门深入贯彻落实科学发展观、推进城乡统筹发展的重要手段，也是加强城乡基层人力资源和社会保障管理服务工作的重要途径。在国家政策的有效推动下，各地在人力资源和社会保障基层综合服务场所设施建设和设备配置也逐步完备，但由于各地经济发展水平差距较大，在具体硬件设施建设和设备配置方面存在显著的差别，面临着设施建设不规范、设备配置不科学等一系列问题，一定程度上制约了基层人力资源和社会保障公共服务能力的全面提升和健康发展。</w:t>
      </w:r>
    </w:p>
    <w:p>
      <w:pPr>
        <w:pStyle w:val="22"/>
        <w:spacing w:line="360" w:lineRule="auto"/>
        <w:ind w:firstLine="600"/>
        <w:contextualSpacing/>
        <w:jc w:val="left"/>
        <w:rPr>
          <w:rFonts w:ascii="仿宋" w:hAnsi="仿宋" w:eastAsia="仿宋"/>
          <w:sz w:val="30"/>
          <w:szCs w:val="30"/>
        </w:rPr>
      </w:pPr>
      <w:r>
        <w:rPr>
          <w:rFonts w:hint="eastAsia" w:ascii="仿宋" w:hAnsi="仿宋" w:eastAsia="仿宋"/>
          <w:sz w:val="30"/>
          <w:szCs w:val="30"/>
        </w:rPr>
        <w:t>人力资源和社会保障部提出制定《基层人力资源和社会保障综合服务场所设施设备要求》行业标准，对完善人力资源和社会保障公共服务标准体系具有重要的作用，对规范基层人力资源和社会保障公共服务平台建设、提升人力资源和社会保障基本公共服务均等化水平具有现实意义。</w:t>
      </w:r>
    </w:p>
    <w:p>
      <w:pPr>
        <w:pStyle w:val="22"/>
        <w:tabs>
          <w:tab w:val="left" w:pos="1134"/>
        </w:tabs>
        <w:spacing w:line="360" w:lineRule="auto"/>
        <w:ind w:left="600" w:firstLine="0" w:firstLineChars="0"/>
        <w:contextualSpacing/>
        <w:jc w:val="left"/>
        <w:outlineLvl w:val="0"/>
        <w:rPr>
          <w:rFonts w:ascii="黑体" w:hAnsi="黑体" w:eastAsia="黑体"/>
          <w:sz w:val="30"/>
          <w:szCs w:val="30"/>
        </w:rPr>
      </w:pPr>
      <w:r>
        <w:rPr>
          <w:rFonts w:hint="eastAsia" w:ascii="黑体" w:hAnsi="黑体" w:eastAsia="黑体"/>
          <w:sz w:val="30"/>
          <w:szCs w:val="30"/>
        </w:rPr>
        <w:t>三、编制原则</w:t>
      </w:r>
    </w:p>
    <w:p>
      <w:pPr>
        <w:spacing w:line="360" w:lineRule="auto"/>
        <w:ind w:firstLine="640" w:firstLineChars="200"/>
        <w:contextualSpacing/>
        <w:rPr>
          <w:rFonts w:ascii="仿宋_GB2312" w:hAnsi="仿宋" w:eastAsia="仿宋_GB2312"/>
          <w:sz w:val="32"/>
          <w:szCs w:val="32"/>
        </w:rPr>
      </w:pPr>
      <w:r>
        <w:rPr>
          <w:rFonts w:hint="eastAsia" w:ascii="仿宋_GB2312" w:hAnsi="仿宋" w:eastAsia="仿宋_GB2312"/>
          <w:sz w:val="32"/>
          <w:szCs w:val="32"/>
        </w:rPr>
        <w:t>本标准在起草过程中坚持了以下基本原则：</w:t>
      </w:r>
    </w:p>
    <w:p>
      <w:pPr>
        <w:spacing w:beforeLines="50" w:afterLines="50"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 科学原则</w:t>
      </w:r>
    </w:p>
    <w:p>
      <w:pPr>
        <w:spacing w:beforeLines="50" w:afterLines="50"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标准的科学性包括技术内容的科学性和研制过程的科学性两个方面。起草组一方面注重标准技术内容的科学性，以相关的科学理论和工具为基础，对基层人力资源和社会保障综合服务场所设施设备建设配置的实践经验进行总结和归纳，确保设施建设规模和设备配置能满足基层公共服务需求。另一方面，标准制定过程严格遵循标准制定程序，保证标准研制过程的科学性。</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 xml:space="preserve"> (二) 实践性原则</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为确保本标准能更好推动基层公共服务平台场所设施建设与设备配置的规范化与标准化建设，标准在编制过程中进行了大量的实地调研，坚持实践性原则，充分考虑其实际可操作性。</w:t>
      </w:r>
    </w:p>
    <w:p>
      <w:pPr>
        <w:spacing w:line="360" w:lineRule="auto"/>
        <w:ind w:firstLine="600" w:firstLineChars="200"/>
        <w:contextualSpacing/>
        <w:rPr>
          <w:rFonts w:ascii="仿宋" w:hAnsi="仿宋" w:eastAsia="仿宋"/>
          <w:sz w:val="30"/>
          <w:szCs w:val="30"/>
        </w:rPr>
      </w:pPr>
      <w:r>
        <w:rPr>
          <w:rFonts w:hint="eastAsia" w:ascii="仿宋" w:hAnsi="仿宋" w:eastAsia="仿宋"/>
          <w:sz w:val="30"/>
          <w:szCs w:val="30"/>
        </w:rPr>
        <w:t xml:space="preserve"> (三) 前瞻性原则</w:t>
      </w:r>
    </w:p>
    <w:p>
      <w:pPr>
        <w:spacing w:line="360" w:lineRule="auto"/>
        <w:ind w:firstLine="600" w:firstLineChars="200"/>
        <w:contextualSpacing/>
        <w:rPr>
          <w:rFonts w:ascii="仿宋" w:hAnsi="仿宋" w:eastAsia="仿宋"/>
          <w:sz w:val="30"/>
          <w:szCs w:val="30"/>
        </w:rPr>
      </w:pPr>
      <w:r>
        <w:rPr>
          <w:rFonts w:hint="eastAsia" w:ascii="仿宋" w:hAnsi="仿宋" w:eastAsia="仿宋"/>
          <w:sz w:val="30"/>
          <w:szCs w:val="30"/>
        </w:rPr>
        <w:t>在立足当前我国基层人力资源和社会保障公共服务平台建设的现实情况的同时，考虑到未来的发展趋势和规范化需求，充分体现标准的前瞻性和引导性特点。</w:t>
      </w:r>
    </w:p>
    <w:p>
      <w:pPr>
        <w:pStyle w:val="22"/>
        <w:tabs>
          <w:tab w:val="left" w:pos="1134"/>
        </w:tabs>
        <w:spacing w:line="360" w:lineRule="auto"/>
        <w:ind w:left="600" w:firstLine="0" w:firstLineChars="0"/>
        <w:contextualSpacing/>
        <w:outlineLvl w:val="0"/>
        <w:rPr>
          <w:rFonts w:ascii="黑体" w:hAnsi="黑体" w:eastAsia="黑体"/>
          <w:sz w:val="30"/>
          <w:szCs w:val="30"/>
        </w:rPr>
      </w:pPr>
      <w:r>
        <w:rPr>
          <w:rFonts w:hint="eastAsia" w:ascii="黑体" w:hAnsi="黑体" w:eastAsia="黑体"/>
          <w:sz w:val="30"/>
          <w:szCs w:val="30"/>
        </w:rPr>
        <w:t>四、编制过程</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起草组根据行业标准制定程序的相关要求，严格遵循行业标准的编制程序，组织完成</w:t>
      </w:r>
      <w:r>
        <w:rPr>
          <w:rFonts w:hint="eastAsia" w:ascii="仿宋" w:hAnsi="仿宋" w:eastAsia="仿宋"/>
          <w:sz w:val="30"/>
          <w:szCs w:val="30"/>
        </w:rPr>
        <w:t>《基层人力资源和社会保障综合服务场所设施设备要求》</w:t>
      </w:r>
      <w:r>
        <w:rPr>
          <w:rFonts w:hint="eastAsia" w:ascii="仿宋_GB2312" w:hAnsi="华文中宋" w:eastAsia="仿宋_GB2312"/>
          <w:sz w:val="32"/>
          <w:szCs w:val="32"/>
        </w:rPr>
        <w:t>的编制工作。</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基层人力资源和社会保障综合服务场所设施设备要求》行业标准起草工作在2013年7月底正式启动，确定了本标准编制工作的技术框架和详细计划。课题组在对九省十六县进行实地调研的基础上，经过多次深入研讨和广泛征求意见后形成了《基层人力资源和社会保障综合服务场所设施设备要求》（讨论稿）。</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1.召开启动会议</w:t>
      </w:r>
    </w:p>
    <w:p>
      <w:pPr>
        <w:pStyle w:val="20"/>
        <w:autoSpaceDE/>
        <w:autoSpaceDN/>
        <w:spacing w:line="580" w:lineRule="exact"/>
        <w:ind w:firstLine="600"/>
        <w:jc w:val="left"/>
        <w:rPr>
          <w:sz w:val="30"/>
          <w:szCs w:val="30"/>
        </w:rPr>
      </w:pPr>
      <w:r>
        <w:rPr>
          <w:rFonts w:hint="eastAsia" w:ascii="仿宋" w:hAnsi="仿宋" w:eastAsia="仿宋"/>
          <w:sz w:val="30"/>
          <w:szCs w:val="30"/>
        </w:rPr>
        <w:t>2013年7月召开了《基层人力资源和社会保障综合服务场所设施设备要求》制定工作组第一次全体会议，会议研究讨论了《基层人力资源和社会保障综合服务场所设施设备要求（草案）》，对标准的整体框架进行了讨论，并集中讨论了相关内容。</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2.组织内部研讨</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编制工作启动后，课题组组织了多次内部研讨会议，展开了深入的讨论，对标准的整体框架做了相应的调整，使标准的层次更加清晰，并对相关内容做了修改和完善。</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3.开展实地调研</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课题组自2013年10月至2014年12月先后对九省十六县的基层公共服务平台设施设备建设配置情况进行了深入调研，了解各地基层综合服务平台建设实践，获取翔实的基层综合服务平台建设材料和数据，为基层综合服务平台建设规模和设备配置的确定提供实践支撑。</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4.形成讨论稿</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2015年10月，召开了《基层人力资源和社会保障综合服务场所设施设备要求》研讨会，围绕标准起草的一些难点问题进行了讨论，对标准草案提出了具体的修改意见。会后，课题组认真梳理了修改意见，吸收采纳了相关意见，形成了标准讨论稿。</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5.征求意见</w:t>
      </w:r>
    </w:p>
    <w:p>
      <w:pPr>
        <w:spacing w:beforeLines="50" w:afterLines="50" w:line="360" w:lineRule="auto"/>
        <w:ind w:firstLine="600" w:firstLineChars="200"/>
        <w:contextualSpacing/>
        <w:rPr>
          <w:sz w:val="30"/>
          <w:szCs w:val="30"/>
        </w:rPr>
      </w:pPr>
      <w:r>
        <w:rPr>
          <w:rFonts w:hint="eastAsia" w:ascii="仿宋" w:hAnsi="仿宋" w:eastAsia="仿宋"/>
          <w:sz w:val="30"/>
          <w:szCs w:val="30"/>
        </w:rPr>
        <w:t>2016年3月，课题组面向全国30省（自治区、直辖市）人力资源和社会保障部门和部内各司局、事业单位广泛征求意见，在逐条归纳总结分析各项意见的基础上，充分吸收相关意见和建议，进一步修改完善标准，形成《基层人力资源和社会保障综合服务场所设施设备要求》行业标准征求意见稿。</w:t>
      </w:r>
    </w:p>
    <w:p>
      <w:pPr>
        <w:pStyle w:val="22"/>
        <w:tabs>
          <w:tab w:val="left" w:pos="1134"/>
        </w:tabs>
        <w:spacing w:line="360" w:lineRule="auto"/>
        <w:ind w:left="600" w:firstLine="0" w:firstLineChars="0"/>
        <w:contextualSpacing/>
        <w:outlineLvl w:val="0"/>
        <w:rPr>
          <w:rFonts w:ascii="仿宋" w:hAnsi="仿宋" w:eastAsia="仿宋"/>
          <w:sz w:val="30"/>
          <w:szCs w:val="30"/>
        </w:rPr>
      </w:pPr>
      <w:r>
        <w:rPr>
          <w:rFonts w:hint="eastAsia" w:ascii="黑体" w:hAnsi="黑体" w:eastAsia="黑体"/>
          <w:sz w:val="30"/>
          <w:szCs w:val="30"/>
        </w:rPr>
        <w:t>五、标准的主要技术内容</w:t>
      </w:r>
    </w:p>
    <w:p>
      <w:pPr>
        <w:spacing w:line="360" w:lineRule="auto"/>
        <w:ind w:firstLine="600" w:firstLineChars="200"/>
        <w:contextualSpacing/>
        <w:rPr>
          <w:rFonts w:ascii="仿宋" w:hAnsi="仿宋" w:eastAsia="仿宋"/>
          <w:sz w:val="30"/>
          <w:szCs w:val="30"/>
        </w:rPr>
      </w:pPr>
      <w:r>
        <w:rPr>
          <w:rFonts w:hint="eastAsia" w:ascii="仿宋" w:hAnsi="仿宋" w:eastAsia="仿宋"/>
          <w:sz w:val="30"/>
          <w:szCs w:val="30"/>
        </w:rPr>
        <w:t>本标准共分为十个组成部分，主要内容如下：</w:t>
      </w:r>
    </w:p>
    <w:p>
      <w:pPr>
        <w:tabs>
          <w:tab w:val="left" w:pos="1134"/>
        </w:tabs>
        <w:spacing w:line="360" w:lineRule="auto"/>
        <w:ind w:left="480"/>
        <w:contextualSpacing/>
        <w:rPr>
          <w:rFonts w:ascii="仿宋" w:hAnsi="仿宋" w:eastAsia="仿宋"/>
          <w:sz w:val="30"/>
          <w:szCs w:val="30"/>
        </w:rPr>
      </w:pPr>
      <w:r>
        <w:rPr>
          <w:rFonts w:hint="eastAsia" w:ascii="仿宋" w:hAnsi="仿宋" w:eastAsia="仿宋"/>
          <w:sz w:val="30"/>
          <w:szCs w:val="30"/>
        </w:rPr>
        <w:t>（一）范围</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介绍了本标准的主要内容和本标准所适用的领域。</w:t>
      </w:r>
    </w:p>
    <w:p>
      <w:pPr>
        <w:tabs>
          <w:tab w:val="left" w:pos="1134"/>
        </w:tabs>
        <w:spacing w:line="360" w:lineRule="auto"/>
        <w:ind w:left="480"/>
        <w:contextualSpacing/>
        <w:rPr>
          <w:rFonts w:ascii="仿宋" w:hAnsi="仿宋" w:eastAsia="仿宋"/>
          <w:sz w:val="30"/>
          <w:szCs w:val="30"/>
        </w:rPr>
      </w:pPr>
      <w:r>
        <w:rPr>
          <w:rFonts w:hint="eastAsia" w:ascii="仿宋" w:hAnsi="仿宋" w:eastAsia="仿宋"/>
          <w:sz w:val="30"/>
          <w:szCs w:val="30"/>
        </w:rPr>
        <w:t>（二）规范性引用文件</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主要列出了标准中引用其他文件的文件清单。本标准主要参考和引用了GB 50222-2001 、GA 587-2005 、GB 50174 、GB/T 2887-2000。</w:t>
      </w:r>
    </w:p>
    <w:p>
      <w:pPr>
        <w:tabs>
          <w:tab w:val="left" w:pos="1134"/>
        </w:tabs>
        <w:spacing w:line="360" w:lineRule="auto"/>
        <w:ind w:left="480"/>
        <w:contextualSpacing/>
        <w:rPr>
          <w:rFonts w:ascii="仿宋" w:hAnsi="仿宋" w:eastAsia="仿宋"/>
          <w:sz w:val="30"/>
          <w:szCs w:val="30"/>
        </w:rPr>
      </w:pPr>
      <w:r>
        <w:rPr>
          <w:rFonts w:hint="eastAsia" w:ascii="仿宋" w:hAnsi="仿宋" w:eastAsia="仿宋"/>
          <w:sz w:val="30"/>
          <w:szCs w:val="30"/>
        </w:rPr>
        <w:t>（三）术语和定义</w:t>
      </w:r>
    </w:p>
    <w:p>
      <w:pPr>
        <w:ind w:firstLine="600" w:firstLineChars="200"/>
      </w:pPr>
      <w:r>
        <w:rPr>
          <w:rFonts w:hint="eastAsia" w:ascii="仿宋" w:hAnsi="仿宋" w:eastAsia="仿宋"/>
          <w:sz w:val="30"/>
          <w:szCs w:val="30"/>
        </w:rPr>
        <w:t>本标准定义了基层人力资源和社会保障综合服务场所、基层人力资源和社会保障综合服务场所设施、基层人力资源和社会保障综合服务场所设备、和功能区4条基本术语。</w:t>
      </w:r>
    </w:p>
    <w:p>
      <w:pPr>
        <w:spacing w:beforeLines="50" w:afterLines="50" w:line="360" w:lineRule="auto"/>
        <w:ind w:firstLine="600" w:firstLineChars="200"/>
        <w:contextualSpacing/>
        <w:rPr>
          <w:rFonts w:ascii="仿宋" w:hAnsi="仿宋" w:eastAsia="仿宋"/>
          <w:sz w:val="30"/>
          <w:szCs w:val="30"/>
        </w:rPr>
      </w:pPr>
      <w:r>
        <w:rPr>
          <w:rFonts w:hint="eastAsia" w:ascii="仿宋" w:hAnsi="仿宋" w:eastAsia="仿宋"/>
          <w:sz w:val="30"/>
          <w:szCs w:val="30"/>
        </w:rPr>
        <w:t>（四）基本原则</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本标准从建设规范、规模适度、布局合理、功能完善四个方面提出了基层人力资源和社会保障综合服务场所设施建设原则，从经济实用、科学合理两个方面提出了基层人力资源和社会保障综合服务场所设备配置的基本原则。</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（五）建设规模</w:t>
      </w:r>
    </w:p>
    <w:p>
      <w:pPr>
        <w:ind w:firstLine="600" w:firstLineChars="200"/>
        <w:rPr>
          <w:rFonts w:ascii="仿宋" w:hAnsi="仿宋" w:eastAsia="仿宋"/>
          <w:sz w:val="30"/>
          <w:szCs w:val="30"/>
        </w:rPr>
      </w:pPr>
      <w:r>
        <w:rPr>
          <w:rFonts w:hint="eastAsia" w:ascii="仿宋" w:hAnsi="仿宋" w:eastAsia="仿宋"/>
          <w:sz w:val="30"/>
          <w:szCs w:val="30"/>
        </w:rPr>
        <w:t>本标准提出县（市、区）和乡镇（街道）两级人力资源和社会保障综合服务场所建筑面积。建筑面积的确定采用定量与定性相结合，通过定量测算后进行定性分析得出。一方面利用包括人社部公共服务机构调查系统的全国2011年横截面数据、人社部2009年公共服务机构情况调查数据和16县（市）区的调研数据，考虑常住人口和年服务人次两个因素，同时考虑经济发展水平、人均GDP、信息化水平、服务下沉等影响因子，通过构建回归模型测算出理论建筑面积，另一方面对我国基层公共服务场所设施建设实践和未来发展趋势进行定性分析，最后给出标准中的建筑面积。</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（六）建筑布局与功能区划</w:t>
      </w:r>
    </w:p>
    <w:p>
      <w:pPr>
        <w:ind w:firstLine="600" w:firstLineChars="200"/>
        <w:rPr>
          <w:rFonts w:ascii="仿宋" w:hAnsi="仿宋" w:eastAsia="仿宋"/>
          <w:sz w:val="30"/>
          <w:szCs w:val="30"/>
        </w:rPr>
      </w:pPr>
      <w:r>
        <w:rPr>
          <w:rFonts w:hint="eastAsia" w:ascii="仿宋" w:hAnsi="仿宋" w:eastAsia="仿宋"/>
          <w:sz w:val="30"/>
          <w:szCs w:val="30"/>
        </w:rPr>
        <w:t>本标准对标志标牌设置、建筑布局、建筑设计提出基本规范，对县（市、区）和乡镇（街道）人力资源和社会保障综合服务场所的功能区划提出基本设置建议。</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（七）公共设施</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对县（市、区）人力资源和社会保障综合服务场所的空调系统、采暖系统、消防设施、采光照明设施、无障碍设施和安全监控系统等公共设施配置提出具体要求。</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（八）设备配置</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遵循设备配置基本原则，结合各地设备配置实践，并兼顾未来基层人力资源和社会保障基本公共服务需求发展趋势，提出县（市、区）人力资源和社会保障综合服务场所基本设备配置清单。</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（九）服务设施设备的检查和维护</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对基层人力资源和社会保障综合服务场所服务设施设备的检查和维护提出基本要求。</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（十）其它说明</w:t>
      </w:r>
    </w:p>
    <w:p>
      <w:pPr>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对本标准主要适用于县（市、区）层级公共服务场所进行了说明，同时也考虑到全国各地的的差异性，提出有条件的乡镇（街道）人力资源和社会保障综合服务场所的设施建设和设备配置可参照本规范自行确定。</w:t>
      </w:r>
    </w:p>
    <w:p>
      <w:pPr>
        <w:spacing w:beforeLines="50" w:afterLines="50" w:line="360" w:lineRule="auto"/>
        <w:ind w:firstLine="600" w:firstLineChars="200"/>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iti SC Light">
    <w:altName w:val="Arial Unicode MS"/>
    <w:panose1 w:val="00000000000000000000"/>
    <w:charset w:val="50"/>
    <w:family w:val="auto"/>
    <w:pitch w:val="default"/>
    <w:sig w:usb0="00000000" w:usb1="00000000" w:usb2="0000001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00"/>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9359"/>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1F4B"/>
    <w:rsid w:val="000216E6"/>
    <w:rsid w:val="0002645E"/>
    <w:rsid w:val="00040059"/>
    <w:rsid w:val="00041277"/>
    <w:rsid w:val="00054787"/>
    <w:rsid w:val="000B5451"/>
    <w:rsid w:val="000B571E"/>
    <w:rsid w:val="000C022B"/>
    <w:rsid w:val="00152C71"/>
    <w:rsid w:val="001615B9"/>
    <w:rsid w:val="00174F80"/>
    <w:rsid w:val="001B460B"/>
    <w:rsid w:val="001B70B6"/>
    <w:rsid w:val="001D48F2"/>
    <w:rsid w:val="001E22D3"/>
    <w:rsid w:val="00211A59"/>
    <w:rsid w:val="00231C91"/>
    <w:rsid w:val="002360A2"/>
    <w:rsid w:val="002363D4"/>
    <w:rsid w:val="00255E80"/>
    <w:rsid w:val="00281F30"/>
    <w:rsid w:val="00295772"/>
    <w:rsid w:val="002A1356"/>
    <w:rsid w:val="002B6F54"/>
    <w:rsid w:val="002E2438"/>
    <w:rsid w:val="002E47F9"/>
    <w:rsid w:val="002E7529"/>
    <w:rsid w:val="00307CC2"/>
    <w:rsid w:val="00345DD5"/>
    <w:rsid w:val="003537BA"/>
    <w:rsid w:val="00440246"/>
    <w:rsid w:val="00473498"/>
    <w:rsid w:val="00481DE8"/>
    <w:rsid w:val="004B346F"/>
    <w:rsid w:val="004C3A2D"/>
    <w:rsid w:val="004C4949"/>
    <w:rsid w:val="004E5410"/>
    <w:rsid w:val="005569B2"/>
    <w:rsid w:val="00557273"/>
    <w:rsid w:val="00587BCD"/>
    <w:rsid w:val="005A6F31"/>
    <w:rsid w:val="005B7173"/>
    <w:rsid w:val="005D07CB"/>
    <w:rsid w:val="00635B5F"/>
    <w:rsid w:val="00651795"/>
    <w:rsid w:val="00652B5E"/>
    <w:rsid w:val="006542FE"/>
    <w:rsid w:val="00662162"/>
    <w:rsid w:val="00682F05"/>
    <w:rsid w:val="006C4EF2"/>
    <w:rsid w:val="006C656F"/>
    <w:rsid w:val="00712F4C"/>
    <w:rsid w:val="007A2B4C"/>
    <w:rsid w:val="007D4B19"/>
    <w:rsid w:val="007D72ED"/>
    <w:rsid w:val="008139F5"/>
    <w:rsid w:val="008446FF"/>
    <w:rsid w:val="00866B7E"/>
    <w:rsid w:val="008B665D"/>
    <w:rsid w:val="008C070C"/>
    <w:rsid w:val="008D083B"/>
    <w:rsid w:val="009135D1"/>
    <w:rsid w:val="00916E1D"/>
    <w:rsid w:val="00940AFB"/>
    <w:rsid w:val="00961F4B"/>
    <w:rsid w:val="00967556"/>
    <w:rsid w:val="00981C66"/>
    <w:rsid w:val="009B7908"/>
    <w:rsid w:val="00A25DE0"/>
    <w:rsid w:val="00A40532"/>
    <w:rsid w:val="00A64A2F"/>
    <w:rsid w:val="00AC1B44"/>
    <w:rsid w:val="00B0517A"/>
    <w:rsid w:val="00B22532"/>
    <w:rsid w:val="00B50169"/>
    <w:rsid w:val="00BA61AF"/>
    <w:rsid w:val="00BD5CE8"/>
    <w:rsid w:val="00C235E1"/>
    <w:rsid w:val="00C36922"/>
    <w:rsid w:val="00C95DF7"/>
    <w:rsid w:val="00CD6B51"/>
    <w:rsid w:val="00D71B07"/>
    <w:rsid w:val="00DB2BE5"/>
    <w:rsid w:val="00DC0562"/>
    <w:rsid w:val="00DD1060"/>
    <w:rsid w:val="00E11378"/>
    <w:rsid w:val="00EA45CC"/>
    <w:rsid w:val="00EA6BAC"/>
    <w:rsid w:val="00EB08AF"/>
    <w:rsid w:val="00EC4E53"/>
    <w:rsid w:val="00F5470A"/>
    <w:rsid w:val="00FD76E6"/>
    <w:rsid w:val="00FE241A"/>
    <w:rsid w:val="6BEA2141"/>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6">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toc 7"/>
    <w:basedOn w:val="1"/>
    <w:next w:val="1"/>
    <w:unhideWhenUsed/>
    <w:uiPriority w:val="39"/>
    <w:pPr>
      <w:ind w:left="1260"/>
      <w:jc w:val="left"/>
    </w:pPr>
    <w:rPr>
      <w:sz w:val="20"/>
      <w:szCs w:val="20"/>
    </w:rPr>
  </w:style>
  <w:style w:type="paragraph" w:styleId="4">
    <w:name w:val="Document Map"/>
    <w:basedOn w:val="1"/>
    <w:link w:val="21"/>
    <w:unhideWhenUsed/>
    <w:uiPriority w:val="99"/>
    <w:rPr>
      <w:rFonts w:ascii="宋体" w:eastAsia="宋体"/>
      <w:sz w:val="18"/>
      <w:szCs w:val="18"/>
    </w:rPr>
  </w:style>
  <w:style w:type="paragraph" w:styleId="5">
    <w:name w:val="toc 5"/>
    <w:basedOn w:val="1"/>
    <w:next w:val="1"/>
    <w:unhideWhenUsed/>
    <w:uiPriority w:val="39"/>
    <w:pPr>
      <w:ind w:left="840"/>
      <w:jc w:val="left"/>
    </w:pPr>
    <w:rPr>
      <w:sz w:val="20"/>
      <w:szCs w:val="20"/>
    </w:rPr>
  </w:style>
  <w:style w:type="paragraph" w:styleId="6">
    <w:name w:val="toc 3"/>
    <w:basedOn w:val="1"/>
    <w:next w:val="1"/>
    <w:unhideWhenUsed/>
    <w:uiPriority w:val="39"/>
    <w:pPr>
      <w:ind w:left="420"/>
      <w:jc w:val="left"/>
    </w:pPr>
    <w:rPr>
      <w:sz w:val="22"/>
    </w:rPr>
  </w:style>
  <w:style w:type="paragraph" w:styleId="7">
    <w:name w:val="toc 8"/>
    <w:basedOn w:val="1"/>
    <w:next w:val="1"/>
    <w:unhideWhenUsed/>
    <w:uiPriority w:val="39"/>
    <w:pPr>
      <w:ind w:left="1470"/>
      <w:jc w:val="left"/>
    </w:pPr>
    <w:rPr>
      <w:sz w:val="20"/>
      <w:szCs w:val="20"/>
    </w:rPr>
  </w:style>
  <w:style w:type="paragraph" w:styleId="8">
    <w:name w:val="Balloon Text"/>
    <w:basedOn w:val="1"/>
    <w:link w:val="25"/>
    <w:unhideWhenUsed/>
    <w:uiPriority w:val="99"/>
    <w:rPr>
      <w:rFonts w:ascii="Heiti SC Light" w:eastAsia="Heiti SC Light"/>
      <w:sz w:val="18"/>
      <w:szCs w:val="18"/>
    </w:rPr>
  </w:style>
  <w:style w:type="paragraph" w:styleId="9">
    <w:name w:val="footer"/>
    <w:basedOn w:val="1"/>
    <w:link w:val="19"/>
    <w:unhideWhenUsed/>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spacing w:before="120"/>
      <w:jc w:val="left"/>
    </w:pPr>
    <w:rPr>
      <w:b/>
      <w:sz w:val="24"/>
      <w:szCs w:val="24"/>
    </w:rPr>
  </w:style>
  <w:style w:type="paragraph" w:styleId="12">
    <w:name w:val="toc 4"/>
    <w:basedOn w:val="1"/>
    <w:next w:val="1"/>
    <w:unhideWhenUsed/>
    <w:uiPriority w:val="39"/>
    <w:pPr>
      <w:ind w:left="630"/>
      <w:jc w:val="left"/>
    </w:pPr>
    <w:rPr>
      <w:sz w:val="20"/>
      <w:szCs w:val="20"/>
    </w:rPr>
  </w:style>
  <w:style w:type="paragraph" w:styleId="13">
    <w:name w:val="toc 6"/>
    <w:basedOn w:val="1"/>
    <w:next w:val="1"/>
    <w:unhideWhenUsed/>
    <w:uiPriority w:val="39"/>
    <w:pPr>
      <w:ind w:left="1050"/>
      <w:jc w:val="left"/>
    </w:pPr>
    <w:rPr>
      <w:sz w:val="20"/>
      <w:szCs w:val="20"/>
    </w:rPr>
  </w:style>
  <w:style w:type="paragraph" w:styleId="14">
    <w:name w:val="toc 2"/>
    <w:basedOn w:val="1"/>
    <w:next w:val="1"/>
    <w:unhideWhenUsed/>
    <w:uiPriority w:val="39"/>
    <w:pPr>
      <w:ind w:left="210"/>
      <w:jc w:val="left"/>
    </w:pPr>
    <w:rPr>
      <w:b/>
      <w:sz w:val="22"/>
    </w:rPr>
  </w:style>
  <w:style w:type="paragraph" w:styleId="15">
    <w:name w:val="toc 9"/>
    <w:basedOn w:val="1"/>
    <w:next w:val="1"/>
    <w:unhideWhenUsed/>
    <w:uiPriority w:val="39"/>
    <w:pPr>
      <w:ind w:left="1680"/>
      <w:jc w:val="left"/>
    </w:pPr>
    <w:rPr>
      <w:sz w:val="20"/>
      <w:szCs w:val="20"/>
    </w:rPr>
  </w:style>
  <w:style w:type="character" w:customStyle="1" w:styleId="18">
    <w:name w:val="页眉 Char"/>
    <w:basedOn w:val="16"/>
    <w:link w:val="10"/>
    <w:semiHidden/>
    <w:qFormat/>
    <w:uiPriority w:val="99"/>
    <w:rPr>
      <w:sz w:val="18"/>
      <w:szCs w:val="18"/>
    </w:rPr>
  </w:style>
  <w:style w:type="character" w:customStyle="1" w:styleId="19">
    <w:name w:val="页脚 Char"/>
    <w:basedOn w:val="16"/>
    <w:link w:val="9"/>
    <w:qFormat/>
    <w:uiPriority w:val="99"/>
    <w:rPr>
      <w:sz w:val="18"/>
      <w:szCs w:val="18"/>
    </w:rPr>
  </w:style>
  <w:style w:type="paragraph" w:customStyle="1" w:styleId="20">
    <w:name w:val="段"/>
    <w:uiPriority w:val="0"/>
    <w:pPr>
      <w:tabs>
        <w:tab w:val="center" w:pos="4201"/>
        <w:tab w:val="right" w:leader="dot" w:pos="9298"/>
      </w:tabs>
      <w:autoSpaceDE w:val="0"/>
      <w:autoSpaceDN w:val="0"/>
      <w:ind w:firstLine="420" w:firstLineChars="200"/>
      <w:jc w:val="both"/>
    </w:pPr>
    <w:rPr>
      <w:rFonts w:ascii="宋体" w:hAnsi="宋体" w:eastAsia="宋体" w:cs="Times New Roman"/>
      <w:kern w:val="0"/>
      <w:sz w:val="21"/>
      <w:szCs w:val="20"/>
      <w:lang w:val="en-US" w:eastAsia="zh-CN" w:bidi="ar-SA"/>
    </w:rPr>
  </w:style>
  <w:style w:type="character" w:customStyle="1" w:styleId="21">
    <w:name w:val="文档结构图 Char"/>
    <w:basedOn w:val="16"/>
    <w:link w:val="4"/>
    <w:semiHidden/>
    <w:qFormat/>
    <w:uiPriority w:val="99"/>
    <w:rPr>
      <w:rFonts w:ascii="宋体" w:eastAsia="宋体"/>
      <w:sz w:val="18"/>
      <w:szCs w:val="18"/>
    </w:rPr>
  </w:style>
  <w:style w:type="paragraph" w:customStyle="1" w:styleId="22">
    <w:name w:val="List Paragraph"/>
    <w:basedOn w:val="1"/>
    <w:qFormat/>
    <w:uiPriority w:val="34"/>
    <w:pPr>
      <w:ind w:firstLine="420" w:firstLineChars="200"/>
    </w:pPr>
    <w:rPr>
      <w:rFonts w:ascii="Calibri" w:hAnsi="Calibri" w:eastAsia="宋体" w:cs="Times New Roman"/>
    </w:rPr>
  </w:style>
  <w:style w:type="character" w:customStyle="1" w:styleId="23">
    <w:name w:val="标题 1 Char"/>
    <w:basedOn w:val="16"/>
    <w:link w:val="2"/>
    <w:qFormat/>
    <w:uiPriority w:val="9"/>
    <w:rPr>
      <w:b/>
      <w:bCs/>
      <w:kern w:val="44"/>
      <w:sz w:val="44"/>
      <w:szCs w:val="44"/>
    </w:rPr>
  </w:style>
  <w:style w:type="paragraph" w:customStyle="1" w:styleId="2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5">
    <w:name w:val="批注框文本 Char"/>
    <w:basedOn w:val="16"/>
    <w:link w:val="8"/>
    <w:semiHidden/>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450</Words>
  <Characters>2569</Characters>
  <Lines>21</Lines>
  <Paragraphs>6</Paragraphs>
  <TotalTime>0</TotalTime>
  <ScaleCrop>false</ScaleCrop>
  <LinksUpToDate>false</LinksUpToDate>
  <CharactersWithSpaces>3013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2016-04-27T02:57:00Z</dcterms:created>
  <dc:creator>Lenovo</dc:creator>
  <cp:lastModifiedBy>Administrator</cp:lastModifiedBy>
  <cp:lastPrinted>2016-04-28T05:43:00Z</cp:lastPrinted>
  <dcterms:modified xsi:type="dcterms:W3CDTF">2016-05-03T08:35:49Z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