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行政法规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中华人民共和国劳动保险条例（1951年2月26日政务院公布，1953年1月2日政务院修正公布）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中国人民共和国标准化法实施条例（国务院令第53号）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国务院关于职工工作时间的规定（国务院令第146号）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中华人民共和国民办非企业单位登记管理暂行条例（国务院令第251号）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中华人民共和国土地管理法实施条例（国务院令第256号）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失业保险条例（国务院令第258号）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社会保险费征缴暂行条例（国务院令第259号）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行政执法机关移送涉嫌犯罪案件的规定（国务院令第310号）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禁止使用童工规定（国务院令第364号）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中华人民共和国中外合作办学条例（国务院令第372号）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工伤保险条例（国务院令第375号）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中华人民共和国民办教育促进法实施条例（国务院令第399号）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国务院对确需保留的行政审批项目设定行政许可的决定（国务院令第412号）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军人抚恤优待条例（国务院令第413号）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劳动保障监察条例（国务院令第423号）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信访条例（国务院令第431号）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残疾人就业条例（国务院令第488号）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中华人民共和国政府信息公开条例（国务院令第492号）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中华人民共和国行政复议法实施条例（国务院令第499号）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职工带薪年休假条例（国务院令第514号）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中华人民共和国劳动合同法实施条例（国务院令第535号）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女职工劳动保护特别规定（国务院令第619号）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中华人民共和国外国人入境出境管理条例（国务院令第637号）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事业单位人事管理条例（国务院令第652号）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居住证暂行条例（国务院令第663号）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全国社会保障基金条例（国务院令第667号）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highlight w:val="none"/>
          <w:lang w:eastAsia="zh-CN"/>
        </w:rPr>
        <w:t>中华人民共和国统计法实施条例（国务院令第</w:t>
      </w:r>
      <w:r>
        <w:rPr>
          <w:rFonts w:hint="eastAsia" w:ascii="Times New Roman" w:hAnsi="Times New Roman" w:eastAsia="仿宋_GB2312"/>
          <w:sz w:val="28"/>
          <w:szCs w:val="24"/>
          <w:highlight w:val="none"/>
          <w:lang w:val="en-US" w:eastAsia="zh-CN"/>
        </w:rPr>
        <w:t>681号）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中国人民解放军文职人员条例（国务院、中央军事委员会令第689号）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人力资源市场暂行条例（国务院令第700号）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302EF"/>
    <w:rsid w:val="0B3250EF"/>
    <w:rsid w:val="14634470"/>
    <w:rsid w:val="21A302EF"/>
    <w:rsid w:val="3491064E"/>
    <w:rsid w:val="4FD87D0C"/>
    <w:rsid w:val="6F275F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2019-03-08T03:13:00Z</dcterms:created>
  <dc:creator>user</dc:creator>
  <cp:lastModifiedBy>user</cp:lastModifiedBy>
  <cp:lastPrinted>2019-03-08T03:14:00Z</cp:lastPrinted>
  <dcterms:modified xsi:type="dcterms:W3CDTF">2019-03-14T01:08:36Z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