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highlight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textAlignment w:val="auto"/>
        <w:rPr>
          <w:rFonts w:hint="default" w:ascii="Times New Roman" w:hAnsi="Times New Roman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  <w:t>人力资源服务成果产品展示活动设展单位推荐表</w:t>
      </w:r>
      <w:bookmarkEnd w:id="0"/>
    </w:p>
    <w:p>
      <w:pPr>
        <w:keepNext w:val="0"/>
        <w:keepLines w:val="0"/>
        <w:widowControl/>
        <w:suppressLineNumbers w:val="0"/>
        <w:jc w:val="both"/>
        <w:rPr>
          <w:rFonts w:hint="eastAsia" w:ascii="Times New Roman" w:hAnsi="Times New Roman" w:eastAsia="黑体" w:cs="黑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  <w:t>报送单位：（省级人力资源社会保障部门）                        填报时间：2023年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75"/>
        <w:gridCol w:w="2184"/>
        <w:gridCol w:w="1512"/>
        <w:gridCol w:w="1968"/>
        <w:gridCol w:w="1464"/>
        <w:gridCol w:w="1560"/>
        <w:gridCol w:w="116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机构简介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highlight w:val="none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拟展示主要产品和内容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1.机构简介应包括机构性质、2022年度营业收入、从业人员、2022年度服务人次和用人单位家次、特色亮点等。如设展机构为外资或中外合资人力资源服务机构，还应写明外资国别。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175"/>
        <w:textAlignment w:val="auto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2.主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营业务根据机构实际填报，包括人力资源招聘、人力资源培训、人才测评、劳务派遣、高级人才寻访、人力资源外包、人力资源管理咨询、人力资源软件服务等业态（可填写多个）。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560" w:firstLineChars="175"/>
        <w:textAlignment w:val="auto"/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3.每个展位面积约36平米。</w:t>
      </w: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1E03"/>
    <w:rsid w:val="019233E5"/>
    <w:rsid w:val="2363402F"/>
    <w:rsid w:val="263229F6"/>
    <w:rsid w:val="336741A5"/>
    <w:rsid w:val="45F73A81"/>
    <w:rsid w:val="51511B8E"/>
    <w:rsid w:val="5DCC1E03"/>
    <w:rsid w:val="67533D8A"/>
    <w:rsid w:val="6CB76039"/>
    <w:rsid w:val="6E1F6952"/>
    <w:rsid w:val="7C0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660" w:lineRule="exact"/>
    </w:pPr>
    <w:rPr>
      <w:rFonts w:ascii="Times New Roman" w:hAnsi="Times New Roman"/>
      <w:sz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2023-04-24T05:41:00Z</dcterms:created>
  <dc:creator>luyao</dc:creator>
  <cp:lastModifiedBy>luyao</cp:lastModifiedBy>
  <dcterms:modified xsi:type="dcterms:W3CDTF">2023-04-24T05:42:49Z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3D2D3F4B112E44F58D9302DDB9D2BC16</vt:lpwstr>
  </property>
</Properties>
</file>