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spacing w:line="56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 w:val="0"/>
        <w:overflowPunct w:val="0"/>
        <w:spacing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自然资源部矿产资源储量评审中心2024年第二次公开招聘应届毕业生岗位信息表</w:t>
      </w:r>
    </w:p>
    <w:p>
      <w:pPr>
        <w:widowControl w:val="0"/>
        <w:overflowPunct w:val="0"/>
        <w:spacing w:line="560" w:lineRule="exact"/>
        <w:rPr>
          <w:rFonts w:ascii="方正仿宋简体" w:hAnsi="仿宋" w:eastAsia="方正仿宋简体"/>
          <w:sz w:val="32"/>
          <w:szCs w:val="32"/>
        </w:rPr>
      </w:pPr>
    </w:p>
    <w:tbl>
      <w:tblPr>
        <w:tblStyle w:val="5"/>
        <w:tblW w:w="15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959"/>
        <w:gridCol w:w="1553"/>
        <w:gridCol w:w="1255"/>
        <w:gridCol w:w="1225"/>
        <w:gridCol w:w="842"/>
        <w:gridCol w:w="1845"/>
        <w:gridCol w:w="903"/>
        <w:gridCol w:w="842"/>
        <w:gridCol w:w="1581"/>
        <w:gridCol w:w="1701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95" w:type="dxa"/>
            <w:vAlign w:val="center"/>
          </w:tcPr>
          <w:p>
            <w:pPr>
              <w:widowControl w:val="0"/>
              <w:overflowPunct w:val="0"/>
              <w:jc w:val="center"/>
              <w:rPr>
                <w:rFonts w:ascii="黑体" w:hAnsi="黑体" w:eastAsia="黑体"/>
                <w:sz w:val="22"/>
                <w:szCs w:val="32"/>
              </w:rPr>
            </w:pPr>
            <w:r>
              <w:rPr>
                <w:rFonts w:hint="eastAsia" w:ascii="黑体" w:hAnsi="黑体" w:eastAsia="黑体"/>
                <w:sz w:val="22"/>
                <w:szCs w:val="32"/>
              </w:rPr>
              <w:t>用人单位</w:t>
            </w:r>
          </w:p>
        </w:tc>
        <w:tc>
          <w:tcPr>
            <w:tcW w:w="959" w:type="dxa"/>
            <w:vAlign w:val="center"/>
          </w:tcPr>
          <w:p>
            <w:pPr>
              <w:widowControl w:val="0"/>
              <w:overflowPunct w:val="0"/>
              <w:jc w:val="center"/>
              <w:rPr>
                <w:rFonts w:hint="eastAsia" w:ascii="黑体" w:hAnsi="黑体" w:eastAsia="黑体"/>
                <w:sz w:val="22"/>
                <w:szCs w:val="32"/>
              </w:rPr>
            </w:pPr>
            <w:r>
              <w:rPr>
                <w:rFonts w:hint="eastAsia" w:ascii="黑体" w:hAnsi="黑体" w:eastAsia="黑体"/>
                <w:sz w:val="22"/>
                <w:szCs w:val="32"/>
              </w:rPr>
              <w:t>岗位</w:t>
            </w:r>
          </w:p>
          <w:p>
            <w:pPr>
              <w:widowControl w:val="0"/>
              <w:overflowPunct w:val="0"/>
              <w:jc w:val="center"/>
              <w:rPr>
                <w:rFonts w:ascii="黑体" w:hAnsi="黑体" w:eastAsia="黑体"/>
                <w:sz w:val="22"/>
                <w:szCs w:val="32"/>
              </w:rPr>
            </w:pPr>
            <w:r>
              <w:rPr>
                <w:rFonts w:ascii="黑体" w:hAnsi="黑体" w:eastAsia="黑体"/>
                <w:sz w:val="22"/>
                <w:szCs w:val="32"/>
              </w:rPr>
              <w:t>编码</w:t>
            </w:r>
          </w:p>
        </w:tc>
        <w:tc>
          <w:tcPr>
            <w:tcW w:w="1553" w:type="dxa"/>
            <w:vAlign w:val="center"/>
          </w:tcPr>
          <w:p>
            <w:pPr>
              <w:widowControl w:val="0"/>
              <w:overflowPunct w:val="0"/>
              <w:jc w:val="center"/>
              <w:rPr>
                <w:rFonts w:ascii="黑体" w:hAnsi="黑体" w:eastAsia="黑体"/>
                <w:sz w:val="22"/>
                <w:szCs w:val="32"/>
              </w:rPr>
            </w:pPr>
            <w:r>
              <w:rPr>
                <w:rFonts w:hint="eastAsia" w:ascii="黑体" w:hAnsi="黑体" w:eastAsia="黑体"/>
                <w:sz w:val="22"/>
                <w:szCs w:val="32"/>
              </w:rPr>
              <w:t>岗位</w:t>
            </w:r>
            <w:r>
              <w:rPr>
                <w:rFonts w:ascii="黑体" w:hAnsi="黑体" w:eastAsia="黑体"/>
                <w:sz w:val="22"/>
                <w:szCs w:val="32"/>
              </w:rPr>
              <w:t>名称</w:t>
            </w:r>
          </w:p>
        </w:tc>
        <w:tc>
          <w:tcPr>
            <w:tcW w:w="1255" w:type="dxa"/>
            <w:vAlign w:val="center"/>
          </w:tcPr>
          <w:p>
            <w:pPr>
              <w:widowControl w:val="0"/>
              <w:overflowPunct w:val="0"/>
              <w:jc w:val="center"/>
              <w:rPr>
                <w:rFonts w:ascii="黑体" w:hAnsi="黑体" w:eastAsia="黑体"/>
                <w:sz w:val="22"/>
                <w:szCs w:val="32"/>
              </w:rPr>
            </w:pPr>
            <w:r>
              <w:rPr>
                <w:rFonts w:hint="eastAsia" w:ascii="黑体" w:hAnsi="黑体" w:eastAsia="黑体"/>
                <w:sz w:val="22"/>
                <w:szCs w:val="32"/>
              </w:rPr>
              <w:t>岗位</w:t>
            </w:r>
            <w:r>
              <w:rPr>
                <w:rFonts w:ascii="黑体" w:hAnsi="黑体" w:eastAsia="黑体"/>
                <w:sz w:val="22"/>
                <w:szCs w:val="32"/>
              </w:rPr>
              <w:t>简介</w:t>
            </w:r>
          </w:p>
        </w:tc>
        <w:tc>
          <w:tcPr>
            <w:tcW w:w="1225" w:type="dxa"/>
            <w:vAlign w:val="center"/>
          </w:tcPr>
          <w:p>
            <w:pPr>
              <w:widowControl w:val="0"/>
              <w:overflowPunct w:val="0"/>
              <w:jc w:val="center"/>
              <w:rPr>
                <w:rFonts w:ascii="黑体" w:hAnsi="黑体" w:eastAsia="黑体"/>
                <w:sz w:val="22"/>
                <w:szCs w:val="32"/>
              </w:rPr>
            </w:pPr>
            <w:r>
              <w:rPr>
                <w:rFonts w:hint="eastAsia" w:ascii="黑体" w:hAnsi="黑体" w:eastAsia="黑体"/>
                <w:sz w:val="22"/>
                <w:szCs w:val="32"/>
              </w:rPr>
              <w:t>工作地点</w:t>
            </w:r>
          </w:p>
        </w:tc>
        <w:tc>
          <w:tcPr>
            <w:tcW w:w="842" w:type="dxa"/>
            <w:vAlign w:val="center"/>
          </w:tcPr>
          <w:p>
            <w:pPr>
              <w:widowControl w:val="0"/>
              <w:overflowPunct w:val="0"/>
              <w:jc w:val="center"/>
              <w:rPr>
                <w:rFonts w:ascii="黑体" w:hAnsi="黑体" w:eastAsia="黑体"/>
                <w:sz w:val="22"/>
                <w:szCs w:val="32"/>
              </w:rPr>
            </w:pPr>
            <w:r>
              <w:rPr>
                <w:rFonts w:hint="eastAsia" w:ascii="黑体" w:hAnsi="黑体" w:eastAsia="黑体"/>
                <w:sz w:val="22"/>
                <w:szCs w:val="32"/>
              </w:rPr>
              <w:t>招聘人数</w:t>
            </w:r>
          </w:p>
        </w:tc>
        <w:tc>
          <w:tcPr>
            <w:tcW w:w="1845" w:type="dxa"/>
            <w:vAlign w:val="center"/>
          </w:tcPr>
          <w:p>
            <w:pPr>
              <w:widowControl w:val="0"/>
              <w:overflowPunct w:val="0"/>
              <w:jc w:val="center"/>
              <w:rPr>
                <w:rFonts w:ascii="黑体" w:hAnsi="黑体" w:eastAsia="黑体"/>
                <w:sz w:val="22"/>
                <w:szCs w:val="32"/>
              </w:rPr>
            </w:pPr>
            <w:r>
              <w:rPr>
                <w:rFonts w:hint="eastAsia" w:ascii="黑体" w:hAnsi="黑体" w:eastAsia="黑体"/>
                <w:sz w:val="22"/>
                <w:szCs w:val="32"/>
              </w:rPr>
              <w:t>专业要求</w:t>
            </w:r>
          </w:p>
        </w:tc>
        <w:tc>
          <w:tcPr>
            <w:tcW w:w="903" w:type="dxa"/>
            <w:vAlign w:val="center"/>
          </w:tcPr>
          <w:p>
            <w:pPr>
              <w:widowControl w:val="0"/>
              <w:overflowPunct w:val="0"/>
              <w:jc w:val="center"/>
              <w:rPr>
                <w:rFonts w:ascii="黑体" w:hAnsi="黑体" w:eastAsia="黑体"/>
                <w:sz w:val="22"/>
                <w:szCs w:val="32"/>
              </w:rPr>
            </w:pPr>
            <w:r>
              <w:rPr>
                <w:rFonts w:hint="eastAsia" w:ascii="黑体" w:hAnsi="黑体" w:eastAsia="黑体"/>
                <w:sz w:val="22"/>
                <w:szCs w:val="32"/>
              </w:rPr>
              <w:t>学历</w:t>
            </w:r>
          </w:p>
          <w:p>
            <w:pPr>
              <w:widowControl w:val="0"/>
              <w:overflowPunct w:val="0"/>
              <w:jc w:val="center"/>
              <w:rPr>
                <w:rFonts w:ascii="黑体" w:hAnsi="黑体" w:eastAsia="黑体"/>
                <w:sz w:val="22"/>
                <w:szCs w:val="32"/>
              </w:rPr>
            </w:pPr>
            <w:r>
              <w:rPr>
                <w:rFonts w:hint="eastAsia" w:ascii="黑体" w:hAnsi="黑体" w:eastAsia="黑体"/>
                <w:sz w:val="22"/>
                <w:szCs w:val="32"/>
              </w:rPr>
              <w:t>学位</w:t>
            </w:r>
          </w:p>
        </w:tc>
        <w:tc>
          <w:tcPr>
            <w:tcW w:w="842" w:type="dxa"/>
            <w:vAlign w:val="center"/>
          </w:tcPr>
          <w:p>
            <w:pPr>
              <w:widowControl w:val="0"/>
              <w:overflowPunct w:val="0"/>
              <w:jc w:val="center"/>
              <w:rPr>
                <w:rFonts w:ascii="黑体" w:hAnsi="黑体" w:eastAsia="黑体"/>
                <w:sz w:val="22"/>
                <w:szCs w:val="32"/>
              </w:rPr>
            </w:pPr>
            <w:r>
              <w:rPr>
                <w:rFonts w:hint="eastAsia" w:ascii="黑体" w:hAnsi="黑体" w:eastAsia="黑体"/>
                <w:sz w:val="22"/>
                <w:szCs w:val="32"/>
              </w:rPr>
              <w:t>政治</w:t>
            </w:r>
            <w:r>
              <w:rPr>
                <w:rFonts w:ascii="黑体" w:hAnsi="黑体" w:eastAsia="黑体"/>
                <w:sz w:val="22"/>
                <w:szCs w:val="32"/>
              </w:rPr>
              <w:t>面貌</w:t>
            </w:r>
          </w:p>
        </w:tc>
        <w:tc>
          <w:tcPr>
            <w:tcW w:w="1581" w:type="dxa"/>
            <w:vAlign w:val="center"/>
          </w:tcPr>
          <w:p>
            <w:pPr>
              <w:widowControl w:val="0"/>
              <w:overflowPunct w:val="0"/>
              <w:jc w:val="center"/>
              <w:rPr>
                <w:rFonts w:ascii="黑体" w:hAnsi="黑体" w:eastAsia="黑体"/>
                <w:sz w:val="22"/>
                <w:szCs w:val="32"/>
              </w:rPr>
            </w:pPr>
            <w:r>
              <w:rPr>
                <w:rFonts w:hint="eastAsia" w:ascii="黑体" w:hAnsi="黑体" w:eastAsia="黑体"/>
                <w:sz w:val="22"/>
                <w:szCs w:val="32"/>
              </w:rPr>
              <w:t>生源</w:t>
            </w:r>
            <w:r>
              <w:rPr>
                <w:rFonts w:ascii="黑体" w:hAnsi="黑体" w:eastAsia="黑体"/>
                <w:sz w:val="22"/>
                <w:szCs w:val="32"/>
              </w:rPr>
              <w:t>类别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overflowPunct w:val="0"/>
              <w:jc w:val="center"/>
              <w:rPr>
                <w:rFonts w:ascii="黑体" w:hAnsi="黑体" w:eastAsia="黑体"/>
                <w:sz w:val="22"/>
                <w:szCs w:val="32"/>
              </w:rPr>
            </w:pPr>
            <w:r>
              <w:rPr>
                <w:rFonts w:hint="eastAsia" w:ascii="黑体" w:hAnsi="黑体" w:eastAsia="黑体"/>
                <w:sz w:val="22"/>
                <w:szCs w:val="32"/>
              </w:rPr>
              <w:t>其他</w:t>
            </w:r>
            <w:r>
              <w:rPr>
                <w:rFonts w:ascii="黑体" w:hAnsi="黑体" w:eastAsia="黑体"/>
                <w:sz w:val="22"/>
                <w:szCs w:val="32"/>
              </w:rPr>
              <w:t>条件</w:t>
            </w:r>
          </w:p>
        </w:tc>
        <w:tc>
          <w:tcPr>
            <w:tcW w:w="1753" w:type="dxa"/>
            <w:vAlign w:val="center"/>
          </w:tcPr>
          <w:p>
            <w:pPr>
              <w:widowControl w:val="0"/>
              <w:overflowPunct w:val="0"/>
              <w:jc w:val="center"/>
              <w:rPr>
                <w:rFonts w:ascii="黑体" w:hAnsi="黑体" w:eastAsia="黑体"/>
                <w:sz w:val="22"/>
                <w:szCs w:val="32"/>
              </w:rPr>
            </w:pPr>
            <w:r>
              <w:rPr>
                <w:rFonts w:hint="eastAsia" w:ascii="黑体" w:hAnsi="黑体" w:eastAsia="黑体"/>
                <w:sz w:val="22"/>
                <w:szCs w:val="32"/>
              </w:rPr>
              <w:t>单位</w:t>
            </w:r>
            <w:r>
              <w:rPr>
                <w:rFonts w:ascii="黑体" w:hAnsi="黑体" w:eastAsia="黑体"/>
                <w:sz w:val="22"/>
                <w:szCs w:val="32"/>
              </w:rPr>
              <w:t>联系人</w:t>
            </w:r>
          </w:p>
          <w:p>
            <w:pPr>
              <w:widowControl w:val="0"/>
              <w:overflowPunct w:val="0"/>
              <w:jc w:val="center"/>
              <w:rPr>
                <w:rFonts w:ascii="黑体" w:hAnsi="黑体" w:eastAsia="黑体"/>
                <w:sz w:val="22"/>
                <w:szCs w:val="32"/>
              </w:rPr>
            </w:pPr>
            <w:r>
              <w:rPr>
                <w:rFonts w:ascii="黑体" w:hAnsi="黑体" w:eastAsia="黑体"/>
                <w:sz w:val="22"/>
                <w:szCs w:val="32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7" w:hRule="atLeast"/>
          <w:jc w:val="center"/>
        </w:trPr>
        <w:tc>
          <w:tcPr>
            <w:tcW w:w="1395" w:type="dxa"/>
            <w:vAlign w:val="center"/>
          </w:tcPr>
          <w:p>
            <w:pPr>
              <w:widowControl w:val="0"/>
              <w:overflowPunct w:val="0"/>
              <w:jc w:val="both"/>
              <w:rPr>
                <w:rFonts w:ascii="仿宋_GB2312" w:hAnsi="仿宋" w:eastAsia="仿宋_GB2312"/>
                <w:sz w:val="22"/>
                <w:szCs w:val="32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</w:rPr>
              <w:t>自然资源部矿产资源储量评审中心</w:t>
            </w:r>
          </w:p>
        </w:tc>
        <w:tc>
          <w:tcPr>
            <w:tcW w:w="959" w:type="dxa"/>
            <w:vAlign w:val="center"/>
          </w:tcPr>
          <w:p>
            <w:pPr>
              <w:widowControl w:val="0"/>
              <w:overflowPunct w:val="0"/>
              <w:jc w:val="center"/>
              <w:rPr>
                <w:rFonts w:ascii="仿宋_GB2312" w:hAnsi="仿宋" w:eastAsia="仿宋_GB2312"/>
                <w:sz w:val="22"/>
                <w:szCs w:val="32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</w:rPr>
              <w:t>0901</w:t>
            </w:r>
          </w:p>
        </w:tc>
        <w:tc>
          <w:tcPr>
            <w:tcW w:w="1553" w:type="dxa"/>
            <w:vAlign w:val="center"/>
          </w:tcPr>
          <w:p>
            <w:pPr>
              <w:widowControl w:val="0"/>
              <w:overflowPunct w:val="0"/>
              <w:spacing w:line="360" w:lineRule="exact"/>
              <w:jc w:val="both"/>
              <w:rPr>
                <w:rFonts w:ascii="方正仿宋简体" w:hAnsi="仿宋" w:eastAsia="方正仿宋简体"/>
                <w:sz w:val="22"/>
                <w:szCs w:val="32"/>
              </w:rPr>
            </w:pPr>
            <w:r>
              <w:rPr>
                <w:rFonts w:hint="eastAsia" w:ascii="方正仿宋简体" w:hAnsi="仿宋" w:eastAsia="方正仿宋简体"/>
                <w:sz w:val="22"/>
                <w:szCs w:val="32"/>
              </w:rPr>
              <w:t>综合管理岗</w:t>
            </w:r>
          </w:p>
        </w:tc>
        <w:tc>
          <w:tcPr>
            <w:tcW w:w="1255" w:type="dxa"/>
            <w:vAlign w:val="center"/>
          </w:tcPr>
          <w:p>
            <w:pPr>
              <w:widowControl w:val="0"/>
              <w:overflowPunct w:val="0"/>
              <w:spacing w:line="360" w:lineRule="exact"/>
              <w:jc w:val="both"/>
              <w:rPr>
                <w:rFonts w:ascii="方正仿宋简体" w:hAnsi="仿宋" w:eastAsia="方正仿宋简体"/>
                <w:sz w:val="22"/>
                <w:szCs w:val="32"/>
              </w:rPr>
            </w:pPr>
            <w:r>
              <w:rPr>
                <w:rFonts w:hint="eastAsia" w:ascii="方正仿宋简体" w:hAnsi="仿宋" w:eastAsia="方正仿宋简体"/>
                <w:sz w:val="22"/>
                <w:szCs w:val="32"/>
              </w:rPr>
              <w:t>办公室文秘及综合管理</w:t>
            </w:r>
          </w:p>
        </w:tc>
        <w:tc>
          <w:tcPr>
            <w:tcW w:w="1225" w:type="dxa"/>
            <w:vAlign w:val="center"/>
          </w:tcPr>
          <w:p>
            <w:pPr>
              <w:widowControl w:val="0"/>
              <w:overflowPunct w:val="0"/>
              <w:spacing w:line="360" w:lineRule="exact"/>
              <w:jc w:val="both"/>
              <w:rPr>
                <w:rFonts w:ascii="方正仿宋简体" w:hAnsi="仿宋" w:eastAsia="方正仿宋简体"/>
                <w:sz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32"/>
              </w:rPr>
              <w:t>北京市</w:t>
            </w:r>
            <w:r>
              <w:rPr>
                <w:rFonts w:ascii="方正仿宋简体" w:hAnsi="仿宋" w:eastAsia="方正仿宋简体"/>
                <w:sz w:val="22"/>
                <w:szCs w:val="32"/>
              </w:rPr>
              <w:t>西城区冠英园西区</w:t>
            </w:r>
            <w:r>
              <w:rPr>
                <w:rFonts w:hint="eastAsia" w:ascii="仿宋_GB2312" w:hAnsi="仿宋" w:eastAsia="仿宋_GB2312"/>
                <w:sz w:val="22"/>
                <w:szCs w:val="32"/>
              </w:rPr>
              <w:t>37</w:t>
            </w:r>
            <w:r>
              <w:rPr>
                <w:rFonts w:hint="eastAsia" w:ascii="方正仿宋简体" w:hAnsi="仿宋" w:eastAsia="方正仿宋简体"/>
                <w:sz w:val="22"/>
                <w:szCs w:val="32"/>
              </w:rPr>
              <w:t>号</w:t>
            </w:r>
          </w:p>
        </w:tc>
        <w:tc>
          <w:tcPr>
            <w:tcW w:w="842" w:type="dxa"/>
            <w:vAlign w:val="center"/>
          </w:tcPr>
          <w:p>
            <w:pPr>
              <w:widowControl w:val="0"/>
              <w:overflowPunct w:val="0"/>
              <w:spacing w:line="360" w:lineRule="exact"/>
              <w:jc w:val="center"/>
              <w:rPr>
                <w:rFonts w:ascii="仿宋_GB2312" w:hAnsi="仿宋" w:eastAsia="仿宋_GB2312"/>
                <w:sz w:val="22"/>
                <w:szCs w:val="32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widowControl w:val="0"/>
              <w:overflowPunct w:val="0"/>
              <w:spacing w:line="360" w:lineRule="exact"/>
              <w:jc w:val="both"/>
              <w:rPr>
                <w:rFonts w:ascii="方正仿宋简体" w:hAnsi="仿宋" w:eastAsia="方正仿宋简体"/>
                <w:sz w:val="22"/>
                <w:szCs w:val="32"/>
              </w:rPr>
            </w:pPr>
            <w:r>
              <w:rPr>
                <w:rFonts w:hint="eastAsia" w:ascii="方正仿宋简体" w:hAnsi="仿宋" w:eastAsia="方正仿宋简体"/>
                <w:sz w:val="22"/>
                <w:szCs w:val="32"/>
              </w:rPr>
              <w:t>法学（专业代码为：</w:t>
            </w:r>
            <w:r>
              <w:rPr>
                <w:rFonts w:hint="eastAsia" w:ascii="仿宋_GB2312" w:hAnsi="仿宋" w:eastAsia="仿宋_GB2312"/>
                <w:sz w:val="22"/>
                <w:szCs w:val="32"/>
              </w:rPr>
              <w:t>0301</w:t>
            </w:r>
            <w:r>
              <w:rPr>
                <w:rFonts w:hint="eastAsia" w:ascii="方正仿宋简体" w:hAnsi="仿宋" w:eastAsia="方正仿宋简体"/>
                <w:sz w:val="22"/>
                <w:szCs w:val="32"/>
              </w:rPr>
              <w:t>）、语言学及应用语言学（专业代码为：</w:t>
            </w:r>
            <w:r>
              <w:rPr>
                <w:rFonts w:hint="eastAsia" w:ascii="仿宋_GB2312" w:hAnsi="仿宋" w:eastAsia="仿宋_GB2312"/>
                <w:sz w:val="22"/>
                <w:szCs w:val="32"/>
              </w:rPr>
              <w:t>050102</w:t>
            </w:r>
            <w:r>
              <w:rPr>
                <w:rFonts w:hint="eastAsia" w:ascii="方正仿宋简体" w:hAnsi="仿宋" w:eastAsia="方正仿宋简体"/>
                <w:sz w:val="22"/>
                <w:szCs w:val="32"/>
              </w:rPr>
              <w:t>）、汉语言文字学（专业代码为：</w:t>
            </w:r>
            <w:r>
              <w:rPr>
                <w:rFonts w:hint="eastAsia" w:ascii="仿宋_GB2312" w:hAnsi="仿宋" w:eastAsia="仿宋_GB2312"/>
                <w:sz w:val="22"/>
                <w:szCs w:val="32"/>
              </w:rPr>
              <w:t>050103</w:t>
            </w:r>
            <w:r>
              <w:rPr>
                <w:rFonts w:hint="eastAsia" w:ascii="方正仿宋简体" w:hAnsi="仿宋" w:eastAsia="方正仿宋简体"/>
                <w:sz w:val="22"/>
                <w:szCs w:val="32"/>
              </w:rPr>
              <w:t>）、新闻传播学（专业代码为：</w:t>
            </w:r>
            <w:r>
              <w:rPr>
                <w:rFonts w:hint="eastAsia" w:ascii="仿宋_GB2312" w:hAnsi="仿宋" w:eastAsia="仿宋_GB2312"/>
                <w:sz w:val="22"/>
                <w:szCs w:val="32"/>
              </w:rPr>
              <w:t>0503</w:t>
            </w:r>
            <w:r>
              <w:rPr>
                <w:rFonts w:hint="eastAsia" w:ascii="方正仿宋简体" w:hAnsi="仿宋" w:eastAsia="方正仿宋简体"/>
                <w:sz w:val="22"/>
                <w:szCs w:val="32"/>
              </w:rPr>
              <w:t>）</w:t>
            </w:r>
          </w:p>
        </w:tc>
        <w:tc>
          <w:tcPr>
            <w:tcW w:w="903" w:type="dxa"/>
            <w:vAlign w:val="center"/>
          </w:tcPr>
          <w:p>
            <w:pPr>
              <w:widowControl w:val="0"/>
              <w:overflowPunct w:val="0"/>
              <w:spacing w:line="360" w:lineRule="exact"/>
              <w:jc w:val="center"/>
              <w:rPr>
                <w:rFonts w:ascii="方正仿宋简体" w:hAnsi="仿宋" w:eastAsia="方正仿宋简体"/>
                <w:sz w:val="22"/>
                <w:szCs w:val="32"/>
              </w:rPr>
            </w:pPr>
            <w:r>
              <w:rPr>
                <w:rFonts w:hint="eastAsia" w:ascii="方正仿宋简体" w:hAnsi="仿宋" w:eastAsia="方正仿宋简体"/>
                <w:sz w:val="22"/>
                <w:szCs w:val="32"/>
              </w:rPr>
              <w:t>硕士研究生以上</w:t>
            </w:r>
          </w:p>
        </w:tc>
        <w:tc>
          <w:tcPr>
            <w:tcW w:w="842" w:type="dxa"/>
            <w:vAlign w:val="center"/>
          </w:tcPr>
          <w:p>
            <w:pPr>
              <w:widowControl w:val="0"/>
              <w:overflowPunct w:val="0"/>
              <w:spacing w:line="360" w:lineRule="exact"/>
              <w:jc w:val="center"/>
              <w:rPr>
                <w:rFonts w:ascii="方正仿宋简体" w:hAnsi="仿宋" w:eastAsia="方正仿宋简体"/>
                <w:snapToGrid w:val="0"/>
                <w:kern w:val="0"/>
                <w:sz w:val="22"/>
                <w:szCs w:val="32"/>
              </w:rPr>
            </w:pPr>
            <w:r>
              <w:rPr>
                <w:rFonts w:hint="eastAsia" w:ascii="方正仿宋简体" w:hAnsi="仿宋" w:eastAsia="方正仿宋简体"/>
                <w:snapToGrid w:val="0"/>
                <w:kern w:val="0"/>
                <w:sz w:val="22"/>
                <w:szCs w:val="32"/>
              </w:rPr>
              <w:t>中共党员</w:t>
            </w:r>
          </w:p>
        </w:tc>
        <w:tc>
          <w:tcPr>
            <w:tcW w:w="1581" w:type="dxa"/>
            <w:vAlign w:val="center"/>
          </w:tcPr>
          <w:p>
            <w:pPr>
              <w:widowControl w:val="0"/>
              <w:overflowPunct w:val="0"/>
              <w:spacing w:line="360" w:lineRule="exact"/>
              <w:jc w:val="center"/>
              <w:rPr>
                <w:rFonts w:ascii="方正仿宋简体" w:hAnsi="仿宋" w:eastAsia="方正仿宋简体"/>
                <w:sz w:val="22"/>
                <w:szCs w:val="32"/>
              </w:rPr>
            </w:pPr>
            <w:r>
              <w:rPr>
                <w:rFonts w:hint="eastAsia" w:ascii="方正仿宋简体" w:hAnsi="仿宋" w:eastAsia="方正仿宋简体"/>
                <w:sz w:val="22"/>
                <w:szCs w:val="32"/>
              </w:rPr>
              <w:t>京内</w:t>
            </w:r>
            <w:r>
              <w:rPr>
                <w:rFonts w:ascii="方正仿宋简体" w:hAnsi="仿宋" w:eastAsia="方正仿宋简体"/>
                <w:sz w:val="22"/>
                <w:szCs w:val="32"/>
              </w:rPr>
              <w:t>生源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overflowPunct w:val="0"/>
              <w:spacing w:line="360" w:lineRule="exact"/>
              <w:jc w:val="both"/>
              <w:rPr>
                <w:rFonts w:ascii="方正仿宋简体" w:hAnsi="仿宋" w:eastAsia="方正仿宋简体"/>
                <w:sz w:val="22"/>
                <w:szCs w:val="32"/>
              </w:rPr>
            </w:pPr>
            <w:r>
              <w:rPr>
                <w:rFonts w:hint="eastAsia" w:ascii="方正仿宋简体" w:hAnsi="仿宋" w:eastAsia="方正仿宋简体"/>
                <w:sz w:val="22"/>
                <w:szCs w:val="32"/>
              </w:rPr>
              <w:t>本科和最高学历所对应的专业均应与岗位要求的专业相同；同等</w:t>
            </w:r>
            <w:r>
              <w:rPr>
                <w:rFonts w:ascii="方正仿宋简体" w:hAnsi="仿宋" w:eastAsia="方正仿宋简体"/>
                <w:sz w:val="22"/>
                <w:szCs w:val="32"/>
              </w:rPr>
              <w:t>条件下，</w:t>
            </w:r>
            <w:r>
              <w:rPr>
                <w:rFonts w:hint="eastAsia" w:ascii="方正仿宋简体" w:hAnsi="仿宋" w:eastAsia="方正仿宋简体"/>
                <w:sz w:val="22"/>
                <w:szCs w:val="32"/>
              </w:rPr>
              <w:t>具有较强的文字起草水平，熟练掌握公文写作者优先；具有较强的抗压能力并能适应高强度工作。</w:t>
            </w:r>
          </w:p>
        </w:tc>
        <w:tc>
          <w:tcPr>
            <w:tcW w:w="1753" w:type="dxa"/>
            <w:vAlign w:val="center"/>
          </w:tcPr>
          <w:p>
            <w:pPr>
              <w:widowControl w:val="0"/>
              <w:overflowPunct w:val="0"/>
              <w:spacing w:line="360" w:lineRule="exact"/>
              <w:jc w:val="center"/>
              <w:rPr>
                <w:rFonts w:ascii="仿宋_GB2312" w:hAnsi="仿宋" w:eastAsia="仿宋_GB2312"/>
                <w:sz w:val="22"/>
                <w:szCs w:val="32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</w:rPr>
              <w:t xml:space="preserve">于老师 </w:t>
            </w:r>
            <w:bookmarkStart w:id="0" w:name="_GoBack"/>
            <w:bookmarkEnd w:id="0"/>
            <w:r>
              <w:rPr>
                <w:rFonts w:ascii="仿宋_GB2312" w:hAnsi="仿宋" w:eastAsia="仿宋_GB2312"/>
                <w:sz w:val="22"/>
                <w:szCs w:val="32"/>
              </w:rPr>
              <w:t>010-</w:t>
            </w:r>
            <w:r>
              <w:rPr>
                <w:rFonts w:hint="eastAsia" w:ascii="仿宋_GB2312" w:hAnsi="仿宋" w:eastAsia="仿宋_GB2312"/>
                <w:sz w:val="22"/>
                <w:szCs w:val="32"/>
              </w:rPr>
              <w:t>665604</w:t>
            </w:r>
            <w:r>
              <w:rPr>
                <w:rFonts w:ascii="仿宋_GB2312" w:hAnsi="仿宋" w:eastAsia="仿宋_GB2312"/>
                <w:sz w:val="22"/>
                <w:szCs w:val="32"/>
              </w:rPr>
              <w:t>09</w:t>
            </w:r>
          </w:p>
        </w:tc>
      </w:tr>
    </w:tbl>
    <w:p>
      <w:pPr>
        <w:widowControl w:val="0"/>
        <w:overflowPunct w:val="0"/>
        <w:spacing w:line="440" w:lineRule="exact"/>
        <w:rPr>
          <w:rFonts w:ascii="方正仿宋简体" w:hAnsi="仿宋" w:eastAsia="方正仿宋简体"/>
          <w:sz w:val="2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 xml:space="preserve">  </w:t>
      </w:r>
      <w:r>
        <w:rPr>
          <w:rFonts w:hint="eastAsia" w:ascii="方正仿宋简体" w:hAnsi="仿宋" w:eastAsia="方正仿宋简体"/>
          <w:sz w:val="22"/>
        </w:rPr>
        <w:t>注：</w:t>
      </w:r>
      <w:r>
        <w:rPr>
          <w:rFonts w:hint="eastAsia" w:ascii="仿宋_GB2312" w:hAnsi="仿宋" w:eastAsia="仿宋_GB2312"/>
          <w:sz w:val="22"/>
        </w:rPr>
        <w:t>1.</w:t>
      </w:r>
      <w:r>
        <w:rPr>
          <w:rFonts w:hint="eastAsia" w:ascii="方正仿宋简体" w:hAnsi="仿宋" w:eastAsia="方正仿宋简体"/>
          <w:sz w:val="22"/>
        </w:rPr>
        <w:t>上述</w:t>
      </w:r>
      <w:r>
        <w:rPr>
          <w:rFonts w:ascii="方正仿宋简体" w:hAnsi="仿宋" w:eastAsia="方正仿宋简体"/>
          <w:sz w:val="22"/>
        </w:rPr>
        <w:t>专业名称</w:t>
      </w:r>
      <w:r>
        <w:rPr>
          <w:rFonts w:hint="eastAsia" w:ascii="方正仿宋简体" w:hAnsi="仿宋" w:eastAsia="方正仿宋简体"/>
          <w:sz w:val="22"/>
        </w:rPr>
        <w:t>见教育部</w:t>
      </w:r>
      <w:r>
        <w:rPr>
          <w:rFonts w:ascii="方正仿宋简体" w:hAnsi="仿宋" w:eastAsia="方正仿宋简体"/>
          <w:sz w:val="22"/>
        </w:rPr>
        <w:t>发布的《授予博士、硕士学位和培养研究生的学科、专业目录（</w:t>
      </w:r>
      <w:r>
        <w:rPr>
          <w:rFonts w:ascii="仿宋_GB2312" w:hAnsi="仿宋" w:eastAsia="仿宋_GB2312"/>
          <w:sz w:val="22"/>
          <w:szCs w:val="32"/>
        </w:rPr>
        <w:t>2008</w:t>
      </w:r>
      <w:r>
        <w:rPr>
          <w:rFonts w:ascii="方正仿宋简体" w:hAnsi="仿宋" w:eastAsia="方正仿宋简体"/>
          <w:sz w:val="22"/>
        </w:rPr>
        <w:t>年版）》</w:t>
      </w:r>
      <w:r>
        <w:rPr>
          <w:rFonts w:hint="eastAsia" w:ascii="方正仿宋简体" w:hAnsi="仿宋" w:eastAsia="方正仿宋简体"/>
          <w:sz w:val="22"/>
          <w:szCs w:val="32"/>
        </w:rPr>
        <w:t>、《学位授予和人才培养学</w:t>
      </w:r>
    </w:p>
    <w:p>
      <w:pPr>
        <w:widowControl w:val="0"/>
        <w:overflowPunct w:val="0"/>
        <w:spacing w:line="440" w:lineRule="exact"/>
        <w:ind w:firstLine="990" w:firstLineChars="450"/>
        <w:rPr>
          <w:rFonts w:eastAsia="方正仿宋简体"/>
          <w:sz w:val="22"/>
        </w:rPr>
      </w:pPr>
      <w:r>
        <w:rPr>
          <w:rFonts w:hint="eastAsia" w:ascii="方正仿宋简体" w:hAnsi="仿宋" w:eastAsia="方正仿宋简体"/>
          <w:sz w:val="22"/>
          <w:szCs w:val="32"/>
        </w:rPr>
        <w:t>科目录（</w:t>
      </w:r>
      <w:r>
        <w:rPr>
          <w:rFonts w:hint="eastAsia" w:ascii="仿宋_GB2312" w:hAnsi="仿宋" w:eastAsia="仿宋_GB2312"/>
          <w:sz w:val="22"/>
          <w:szCs w:val="32"/>
        </w:rPr>
        <w:t>2018</w:t>
      </w:r>
      <w:r>
        <w:rPr>
          <w:rFonts w:hint="eastAsia" w:ascii="方正仿宋简体" w:hAnsi="仿宋" w:eastAsia="方正仿宋简体"/>
          <w:sz w:val="22"/>
          <w:szCs w:val="32"/>
        </w:rPr>
        <w:t>年版）》、《研究生教育学科专业目录（</w:t>
      </w:r>
      <w:r>
        <w:rPr>
          <w:rFonts w:hint="eastAsia" w:ascii="仿宋_GB2312" w:hAnsi="仿宋" w:eastAsia="仿宋_GB2312"/>
          <w:sz w:val="22"/>
          <w:szCs w:val="32"/>
        </w:rPr>
        <w:t>2022</w:t>
      </w:r>
      <w:r>
        <w:rPr>
          <w:rFonts w:hint="eastAsia" w:ascii="方正仿宋简体" w:hAnsi="仿宋" w:eastAsia="方正仿宋简体"/>
          <w:sz w:val="22"/>
          <w:szCs w:val="32"/>
        </w:rPr>
        <w:t>年）》；</w:t>
      </w:r>
    </w:p>
    <w:p>
      <w:pPr>
        <w:widowControl w:val="0"/>
        <w:overflowPunct w:val="0"/>
        <w:spacing w:line="440" w:lineRule="exact"/>
      </w:pPr>
      <w:r>
        <w:rPr>
          <w:rFonts w:hint="eastAsia" w:ascii="方正仿宋简体" w:hAnsi="仿宋" w:eastAsia="方正仿宋简体"/>
          <w:sz w:val="22"/>
        </w:rPr>
        <w:t xml:space="preserve"> </w:t>
      </w:r>
      <w:r>
        <w:rPr>
          <w:rFonts w:ascii="方正仿宋简体" w:hAnsi="仿宋" w:eastAsia="方正仿宋简体"/>
          <w:sz w:val="22"/>
        </w:rPr>
        <w:t xml:space="preserve">     </w:t>
      </w:r>
      <w:r>
        <w:rPr>
          <w:rFonts w:hint="eastAsia" w:ascii="仿宋_GB2312" w:hAnsi="仿宋" w:eastAsia="仿宋_GB2312"/>
          <w:sz w:val="22"/>
        </w:rPr>
        <w:t xml:space="preserve"> </w:t>
      </w:r>
      <w:r>
        <w:rPr>
          <w:rFonts w:hint="eastAsia" w:ascii="仿宋_GB2312" w:hAnsi="仿宋" w:eastAsia="仿宋_GB2312" w:cs="仿宋"/>
          <w:bCs/>
          <w:color w:val="000000"/>
          <w:kern w:val="0"/>
          <w:sz w:val="22"/>
        </w:rPr>
        <w:t>2.</w:t>
      </w:r>
      <w:r>
        <w:rPr>
          <w:rFonts w:hint="eastAsia" w:ascii="方正仿宋简体" w:hAnsi="仿宋" w:eastAsia="方正仿宋简体"/>
          <w:sz w:val="22"/>
        </w:rPr>
        <w:t>对于所学专业相近但不在上述参考目录中的，可联系我单位确认报名资格。</w:t>
      </w:r>
      <w:r>
        <w:rPr>
          <w:rFonts w:ascii="方正仿宋简体" w:hAnsi="仿宋" w:eastAsia="方正仿宋简体"/>
          <w:sz w:val="22"/>
        </w:rPr>
        <w:t xml:space="preserve"> 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_GB2312" w:eastAsia="仿宋_GB2312"/>
        <w:sz w:val="28"/>
        <w:szCs w:val="28"/>
      </w:rPr>
    </w:pPr>
    <w:r>
      <w:rPr>
        <w:rFonts w:hint="eastAsia" w:ascii="等线" w:hAnsi="等线"/>
        <w:sz w:val="28"/>
        <w:szCs w:val="28"/>
      </w:rPr>
      <w:t xml:space="preserve">— </w:t>
    </w:r>
    <w:r>
      <w:rPr>
        <w:rFonts w:hint="eastAsia" w:ascii="等线 Light" w:hAnsi="等线 Light" w:eastAsia="等线 Light"/>
        <w:sz w:val="28"/>
        <w:szCs w:val="28"/>
      </w:rPr>
      <w:fldChar w:fldCharType="begin"/>
    </w:r>
    <w:r>
      <w:rPr>
        <w:rFonts w:hint="eastAsia" w:ascii="等线 Light" w:hAnsi="等线 Light" w:eastAsia="等线 Light"/>
        <w:sz w:val="28"/>
        <w:szCs w:val="28"/>
      </w:rPr>
      <w:instrText xml:space="preserve">PAGE   \* MERGEFORMAT</w:instrText>
    </w:r>
    <w:r>
      <w:rPr>
        <w:rFonts w:hint="eastAsia" w:ascii="等线 Light" w:hAnsi="等线 Light" w:eastAsia="等线 Light"/>
        <w:sz w:val="28"/>
        <w:szCs w:val="28"/>
      </w:rPr>
      <w:fldChar w:fldCharType="separate"/>
    </w:r>
    <w:r>
      <w:rPr>
        <w:rFonts w:ascii="等线 Light" w:hAnsi="等线 Light" w:eastAsia="等线 Light"/>
        <w:sz w:val="28"/>
        <w:szCs w:val="28"/>
        <w:lang w:val="zh-CN"/>
      </w:rPr>
      <w:t>9</w:t>
    </w:r>
    <w:r>
      <w:rPr>
        <w:rFonts w:hint="eastAsia" w:ascii="等线 Light" w:hAnsi="等线 Light" w:eastAsia="等线 Light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等线" w:hAnsi="等线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3E"/>
    <w:rsid w:val="002059A1"/>
    <w:rsid w:val="007831B9"/>
    <w:rsid w:val="0098730D"/>
    <w:rsid w:val="00BB03C0"/>
    <w:rsid w:val="00CC4DD4"/>
    <w:rsid w:val="00D3703E"/>
    <w:rsid w:val="5D9EAD67"/>
    <w:rsid w:val="EF968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脚 Char1"/>
    <w:basedOn w:val="6"/>
    <w:qFormat/>
    <w:uiPriority w:val="99"/>
    <w:rPr>
      <w:sz w:val="18"/>
      <w:szCs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table" w:customStyle="1" w:styleId="11">
    <w:name w:val="网格型1"/>
    <w:basedOn w:val="4"/>
    <w:qFormat/>
    <w:uiPriority w:val="59"/>
    <w:pPr>
      <w:ind w:firstLine="641"/>
    </w:pPr>
    <w:rPr>
      <w:rFonts w:eastAsia="方正仿宋简体"/>
      <w:sz w:val="32"/>
      <w:szCs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482</Words>
  <Characters>2752</Characters>
  <Lines>22</Lines>
  <Paragraphs>6</Paragraphs>
  <TotalTime>3</TotalTime>
  <ScaleCrop>false</ScaleCrop>
  <LinksUpToDate>false</LinksUpToDate>
  <CharactersWithSpaces>3228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2024-04-02T00:06:00Z</dcterms:created>
  <dc:creator>lenovo</dc:creator>
  <cp:lastModifiedBy>admin</cp:lastModifiedBy>
  <dcterms:modified xsi:type="dcterms:W3CDTF">2024-04-03T14:35:18Z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