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left"/>
        <w:rPr>
          <w:rFonts w:ascii="方正小标宋_GBK" w:hAnsi="方正小标宋_GBK" w:eastAsia="方正小标宋_GBK"/>
          <w:sz w:val="30"/>
          <w:szCs w:val="30"/>
        </w:rPr>
      </w:pPr>
      <w:r>
        <w:rPr>
          <w:rFonts w:ascii="方正小标宋_GBK" w:hAnsi="方正小标宋_GBK" w:eastAsia="方正小标宋_GBK"/>
          <w:sz w:val="30"/>
          <w:szCs w:val="30"/>
        </w:rPr>
        <w:t>附件4：</w:t>
      </w:r>
    </w:p>
    <w:p>
      <w:pPr>
        <w:jc w:val="center"/>
        <w:textAlignment w:val="baseline"/>
        <w:rPr>
          <w:rFonts w:hint="eastAsia" w:ascii="华文中宋" w:hAnsi="华文中宋" w:eastAsia="华文中宋" w:cs="华文中宋"/>
          <w:sz w:val="36"/>
          <w:szCs w:val="36"/>
        </w:rPr>
      </w:pPr>
      <w:r>
        <w:rPr>
          <w:rFonts w:hint="eastAsia" w:ascii="华文中宋" w:hAnsi="华文中宋" w:eastAsia="华文中宋" w:cs="华文中宋"/>
          <w:sz w:val="36"/>
          <w:szCs w:val="36"/>
        </w:rPr>
        <w:t>国家发展和改革委员会价格认证中心2021年度</w:t>
      </w:r>
    </w:p>
    <w:p>
      <w:pPr>
        <w:jc w:val="center"/>
        <w:textAlignment w:val="baseline"/>
        <w:rPr>
          <w:rFonts w:hint="eastAsia" w:ascii="华文中宋" w:hAnsi="华文中宋" w:eastAsia="华文中宋" w:cs="华文中宋"/>
          <w:sz w:val="36"/>
          <w:szCs w:val="36"/>
        </w:rPr>
      </w:pPr>
      <w:r>
        <w:rPr>
          <w:rFonts w:hint="eastAsia" w:ascii="华文中宋" w:hAnsi="华文中宋" w:eastAsia="华文中宋" w:cs="华文中宋"/>
          <w:sz w:val="36"/>
          <w:szCs w:val="36"/>
        </w:rPr>
        <w:t>应届高校毕业生招聘公告</w:t>
      </w:r>
    </w:p>
    <w:p>
      <w:pPr>
        <w:rPr>
          <w:rFonts w:asciiTheme="majorEastAsia" w:hAnsiTheme="majorEastAsia" w:eastAsiaTheme="majorEastAsia"/>
          <w:b/>
          <w:sz w:val="32"/>
          <w:szCs w:val="32"/>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根据工作需要，国家发展和改革委员会价格认证中心公开招聘3名工作人员。现将有关事项公告如下：</w:t>
      </w:r>
    </w:p>
    <w:p>
      <w:pPr>
        <w:spacing w:line="588" w:lineRule="exact"/>
        <w:ind w:firstLine="600" w:firstLineChars="200"/>
        <w:outlineLvl w:val="0"/>
        <w:rPr>
          <w:rFonts w:hint="eastAsia" w:ascii="黑体" w:hAnsi="黑体" w:eastAsia="黑体" w:cs="黑体"/>
          <w:b w:val="0"/>
          <w:bCs w:val="0"/>
          <w:sz w:val="30"/>
          <w:szCs w:val="30"/>
        </w:rPr>
      </w:pPr>
      <w:r>
        <w:rPr>
          <w:rFonts w:hint="eastAsia" w:ascii="黑体" w:hAnsi="黑体" w:eastAsia="黑体" w:cs="黑体"/>
          <w:b w:val="0"/>
          <w:bCs w:val="0"/>
          <w:sz w:val="30"/>
          <w:szCs w:val="30"/>
        </w:rPr>
        <w:t>一、单位简介</w:t>
      </w:r>
    </w:p>
    <w:p>
      <w:pPr>
        <w:widowControl/>
        <w:spacing w:line="620" w:lineRule="exact"/>
        <w:ind w:firstLine="606" w:firstLineChars="202"/>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国家发展改革委价格认证中心是国家发展改革委直属事业单位。其主要工作职责为：办理中央纪委国家监委及军委监委查办案件涉案财物价格认定、重大刑事和行政案件涉案财物价格认定及复核；组织开展涉税财物价格认定和价格争议纠纷调解工作；推动开展价格认定和价格管理领域热点重点问题研究工作；协助做好有关价格管理基础性工作；组织、协调、指导全国价格认证系统业务工作。</w:t>
      </w:r>
    </w:p>
    <w:p>
      <w:pPr>
        <w:spacing w:line="588" w:lineRule="exact"/>
        <w:ind w:firstLine="600" w:firstLineChars="200"/>
        <w:outlineLvl w:val="0"/>
        <w:rPr>
          <w:rFonts w:hint="eastAsia" w:ascii="黑体" w:hAnsi="黑体" w:eastAsia="黑体" w:cs="黑体"/>
          <w:b w:val="0"/>
          <w:bCs w:val="0"/>
          <w:sz w:val="30"/>
          <w:szCs w:val="30"/>
        </w:rPr>
      </w:pPr>
      <w:r>
        <w:rPr>
          <w:rFonts w:hint="eastAsia" w:ascii="黑体" w:hAnsi="黑体" w:eastAsia="黑体" w:cs="黑体"/>
          <w:b w:val="0"/>
          <w:bCs w:val="0"/>
          <w:sz w:val="30"/>
          <w:szCs w:val="30"/>
        </w:rPr>
        <w:t>二、招聘岗位</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1、价格认定处价格认定岗位：1人。</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2、复核处价格认定复核岗位：1人。</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3、调解认定处调解认定岗位：1人。</w:t>
      </w:r>
    </w:p>
    <w:p>
      <w:pPr>
        <w:spacing w:line="588" w:lineRule="exact"/>
        <w:ind w:firstLine="600" w:firstLineChars="200"/>
        <w:outlineLvl w:val="0"/>
        <w:rPr>
          <w:rFonts w:hint="eastAsia" w:ascii="黑体" w:hAnsi="黑体" w:eastAsia="黑体" w:cs="黑体"/>
          <w:b w:val="0"/>
          <w:bCs w:val="0"/>
          <w:sz w:val="30"/>
          <w:szCs w:val="30"/>
        </w:rPr>
      </w:pPr>
      <w:r>
        <w:rPr>
          <w:rFonts w:hint="eastAsia" w:ascii="黑体" w:hAnsi="黑体" w:eastAsia="黑体" w:cs="黑体"/>
          <w:b w:val="0"/>
          <w:bCs w:val="0"/>
          <w:sz w:val="30"/>
          <w:szCs w:val="30"/>
        </w:rPr>
        <w:t>三、条件要求</w:t>
      </w:r>
    </w:p>
    <w:p>
      <w:pPr>
        <w:ind w:firstLine="600" w:firstLineChars="200"/>
        <w:rPr>
          <w:rFonts w:hint="eastAsia" w:ascii="仿宋" w:hAnsi="仿宋" w:eastAsia="仿宋" w:cs="仿宋"/>
          <w:b/>
          <w:sz w:val="30"/>
          <w:szCs w:val="30"/>
        </w:rPr>
      </w:pPr>
      <w:r>
        <w:rPr>
          <w:rFonts w:hint="eastAsia" w:ascii="仿宋" w:hAnsi="仿宋" w:eastAsia="仿宋" w:cs="仿宋"/>
          <w:sz w:val="30"/>
          <w:szCs w:val="30"/>
        </w:rPr>
        <w:t>1、具有中华人民共和国国籍；</w:t>
      </w:r>
    </w:p>
    <w:p>
      <w:pPr>
        <w:ind w:firstLine="600" w:firstLineChars="200"/>
        <w:rPr>
          <w:rFonts w:hint="eastAsia" w:ascii="仿宋" w:hAnsi="仿宋" w:eastAsia="仿宋" w:cs="仿宋"/>
          <w:b/>
          <w:sz w:val="30"/>
          <w:szCs w:val="30"/>
        </w:rPr>
      </w:pPr>
      <w:r>
        <w:rPr>
          <w:rFonts w:hint="eastAsia" w:ascii="仿宋" w:hAnsi="仿宋" w:eastAsia="仿宋" w:cs="仿宋"/>
          <w:sz w:val="30"/>
          <w:szCs w:val="30"/>
        </w:rPr>
        <w:t>2、遵守宪法和法律、品行端正，有较强的事业心和责任感；</w:t>
      </w:r>
    </w:p>
    <w:p>
      <w:pPr>
        <w:ind w:firstLine="600" w:firstLineChars="200"/>
        <w:rPr>
          <w:rFonts w:hint="eastAsia" w:ascii="仿宋" w:hAnsi="仿宋" w:eastAsia="仿宋" w:cs="仿宋"/>
          <w:b/>
          <w:sz w:val="30"/>
          <w:szCs w:val="30"/>
        </w:rPr>
      </w:pPr>
      <w:r>
        <w:rPr>
          <w:rFonts w:hint="eastAsia" w:ascii="仿宋" w:hAnsi="仿宋" w:eastAsia="仿宋" w:cs="仿宋"/>
          <w:sz w:val="30"/>
          <w:szCs w:val="30"/>
        </w:rPr>
        <w:t>3、此次招聘范围</w:t>
      </w:r>
      <w:r>
        <w:rPr>
          <w:rFonts w:hint="eastAsia" w:ascii="仿宋" w:hAnsi="仿宋" w:eastAsia="仿宋" w:cs="仿宋"/>
          <w:color w:val="000000"/>
          <w:kern w:val="0"/>
          <w:sz w:val="30"/>
          <w:szCs w:val="30"/>
        </w:rPr>
        <w:t>是经国家批准成立的高等院校参加统招统分的</w:t>
      </w:r>
      <w:r>
        <w:rPr>
          <w:rFonts w:hint="eastAsia" w:ascii="仿宋" w:hAnsi="仿宋" w:eastAsia="仿宋" w:cs="仿宋"/>
          <w:sz w:val="30"/>
          <w:szCs w:val="30"/>
        </w:rPr>
        <w:t>2021</w:t>
      </w:r>
      <w:r>
        <w:rPr>
          <w:rFonts w:hint="eastAsia" w:ascii="仿宋" w:hAnsi="仿宋" w:eastAsia="仿宋" w:cs="仿宋"/>
          <w:color w:val="000000"/>
          <w:kern w:val="0"/>
          <w:sz w:val="30"/>
          <w:szCs w:val="30"/>
        </w:rPr>
        <w:t>年应届毕业生</w:t>
      </w:r>
      <w:r>
        <w:rPr>
          <w:rFonts w:hint="eastAsia" w:ascii="仿宋" w:hAnsi="仿宋" w:eastAsia="仿宋" w:cs="仿宋"/>
          <w:sz w:val="30"/>
          <w:szCs w:val="30"/>
        </w:rPr>
        <w:t>（含两年择业期内未就业的高校毕业生）。</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4、价格认定处价格认定岗位要求应聘者为2021年应届毕业生，京外生源，学历为硕士及以上，专业为法学（0301）。</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5、复核处价格认定复核岗位要求应聘者为2021年应届毕业生，京外生源，学历为硕士及以上，专业为应用经济学类（0202）。</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6、调解认定处调解认定岗位要求应聘者为2021年应届毕业生，京内生源，学历为本科，专业为法学（0301）。</w:t>
      </w:r>
    </w:p>
    <w:p>
      <w:pPr>
        <w:tabs>
          <w:tab w:val="left" w:pos="1078"/>
        </w:tabs>
        <w:spacing w:line="579"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7、有以下情形之一者不得应聘：</w:t>
      </w:r>
    </w:p>
    <w:p>
      <w:pPr>
        <w:tabs>
          <w:tab w:val="left" w:pos="1078"/>
        </w:tabs>
        <w:spacing w:line="579"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（1）受过刑事处罚或被开除公职的；</w:t>
      </w:r>
    </w:p>
    <w:p>
      <w:pPr>
        <w:tabs>
          <w:tab w:val="left" w:pos="1078"/>
        </w:tabs>
        <w:spacing w:line="579"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（2）受过党内严重警告或行政记大过以上处分的；</w:t>
      </w:r>
    </w:p>
    <w:p>
      <w:pPr>
        <w:tabs>
          <w:tab w:val="left" w:pos="1078"/>
        </w:tabs>
        <w:spacing w:line="579"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（3）正在接受立案审查的；</w:t>
      </w:r>
    </w:p>
    <w:p>
      <w:pPr>
        <w:tabs>
          <w:tab w:val="left" w:pos="1078"/>
        </w:tabs>
        <w:spacing w:line="579"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（4）在此前公开招聘和各级公务员招考中被认定实施了考试作弊行为的；</w:t>
      </w:r>
    </w:p>
    <w:p>
      <w:pPr>
        <w:tabs>
          <w:tab w:val="left" w:pos="1078"/>
        </w:tabs>
        <w:spacing w:line="579"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（5）法律规定不得招聘到事业单位工作的其他情形。</w:t>
      </w:r>
    </w:p>
    <w:p>
      <w:pPr>
        <w:spacing w:line="588" w:lineRule="exact"/>
        <w:ind w:firstLine="600" w:firstLineChars="200"/>
        <w:outlineLvl w:val="0"/>
        <w:rPr>
          <w:rFonts w:hint="eastAsia" w:ascii="黑体" w:hAnsi="黑体" w:eastAsia="黑体" w:cs="黑体"/>
          <w:b w:val="0"/>
          <w:bCs w:val="0"/>
          <w:sz w:val="30"/>
          <w:szCs w:val="30"/>
        </w:rPr>
      </w:pPr>
      <w:r>
        <w:rPr>
          <w:rFonts w:hint="eastAsia" w:ascii="黑体" w:hAnsi="黑体" w:eastAsia="黑体" w:cs="黑体"/>
          <w:b w:val="0"/>
          <w:bCs w:val="0"/>
          <w:sz w:val="30"/>
          <w:szCs w:val="30"/>
        </w:rPr>
        <w:t>四、报名和考试</w:t>
      </w:r>
    </w:p>
    <w:p>
      <w:pPr>
        <w:widowControl/>
        <w:spacing w:line="62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1、报名和资格审查。</w:t>
      </w:r>
      <w:r>
        <w:rPr>
          <w:rFonts w:hint="eastAsia" w:ascii="仿宋" w:hAnsi="仿宋" w:eastAsia="仿宋" w:cs="仿宋"/>
          <w:color w:val="000000"/>
          <w:kern w:val="0"/>
          <w:sz w:val="30"/>
          <w:szCs w:val="30"/>
        </w:rPr>
        <w:t>为保证整个招聘工作的公平、公正与透明，</w:t>
      </w:r>
      <w:r>
        <w:rPr>
          <w:rFonts w:hint="eastAsia" w:ascii="仿宋" w:hAnsi="仿宋" w:eastAsia="仿宋" w:cs="仿宋"/>
          <w:b/>
          <w:color w:val="000000"/>
          <w:kern w:val="0"/>
          <w:sz w:val="30"/>
          <w:szCs w:val="30"/>
        </w:rPr>
        <w:t>只接受电子邮件报名</w:t>
      </w:r>
      <w:r>
        <w:rPr>
          <w:rFonts w:hint="eastAsia" w:ascii="仿宋" w:hAnsi="仿宋" w:eastAsia="仿宋" w:cs="仿宋"/>
          <w:color w:val="000000"/>
          <w:kern w:val="0"/>
          <w:sz w:val="30"/>
          <w:szCs w:val="30"/>
        </w:rPr>
        <w:t>，恕不接受直接来访、电话、信函等其他形式报名。</w:t>
      </w:r>
      <w:r>
        <w:rPr>
          <w:rFonts w:hint="eastAsia" w:ascii="仿宋" w:hAnsi="仿宋" w:eastAsia="仿宋" w:cs="仿宋"/>
          <w:color w:val="000000"/>
          <w:sz w:val="30"/>
          <w:szCs w:val="30"/>
        </w:rPr>
        <w:t>凡符合条件者，可根据我中心相关岗位对学历、专业、生源等要求，填写</w:t>
      </w:r>
      <w:r>
        <w:rPr>
          <w:rFonts w:hint="eastAsia" w:ascii="仿宋" w:hAnsi="仿宋" w:eastAsia="仿宋" w:cs="仿宋"/>
          <w:sz w:val="30"/>
          <w:szCs w:val="30"/>
        </w:rPr>
        <w:t>《考生报名表》</w:t>
      </w:r>
      <w:r>
        <w:rPr>
          <w:rFonts w:hint="eastAsia" w:ascii="仿宋" w:hAnsi="仿宋" w:eastAsia="仿宋" w:cs="仿宋"/>
          <w:color w:val="000000"/>
          <w:sz w:val="30"/>
          <w:szCs w:val="30"/>
        </w:rPr>
        <w:t>，发送到指定邮箱：</w:t>
      </w:r>
      <w:r>
        <w:rPr>
          <w:rFonts w:hint="eastAsia" w:ascii="仿宋" w:hAnsi="仿宋" w:eastAsia="仿宋" w:cs="仿宋"/>
          <w:color w:val="000000"/>
          <w:kern w:val="0"/>
          <w:sz w:val="30"/>
          <w:szCs w:val="30"/>
        </w:rPr>
        <w:t xml:space="preserve"> </w:t>
      </w:r>
      <w:r>
        <w:rPr>
          <w:rFonts w:hint="eastAsia" w:ascii="仿宋" w:hAnsi="仿宋" w:eastAsia="仿宋" w:cs="仿宋"/>
          <w:sz w:val="30"/>
          <w:szCs w:val="30"/>
        </w:rPr>
        <w:t>lxrongxl@163.com</w:t>
      </w:r>
      <w:r>
        <w:rPr>
          <w:rFonts w:hint="eastAsia" w:ascii="仿宋" w:hAnsi="仿宋" w:eastAsia="仿宋" w:cs="仿宋"/>
          <w:color w:val="000000"/>
          <w:sz w:val="30"/>
          <w:szCs w:val="30"/>
        </w:rPr>
        <w:t>。</w:t>
      </w:r>
      <w:r>
        <w:rPr>
          <w:rFonts w:hint="eastAsia" w:ascii="仿宋" w:hAnsi="仿宋" w:eastAsia="仿宋" w:cs="仿宋"/>
          <w:sz w:val="30"/>
          <w:szCs w:val="30"/>
        </w:rPr>
        <w:t>报名截止时间为2021</w:t>
      </w:r>
      <w:r>
        <w:rPr>
          <w:rFonts w:hint="eastAsia" w:ascii="仿宋" w:hAnsi="仿宋" w:eastAsia="仿宋" w:cs="仿宋"/>
          <w:color w:val="000000"/>
          <w:kern w:val="0"/>
          <w:sz w:val="30"/>
          <w:szCs w:val="30"/>
        </w:rPr>
        <w:t>年</w:t>
      </w:r>
      <w:r>
        <w:rPr>
          <w:rFonts w:hint="eastAsia" w:ascii="仿宋" w:hAnsi="仿宋" w:eastAsia="仿宋" w:cs="仿宋"/>
          <w:sz w:val="30"/>
          <w:szCs w:val="30"/>
        </w:rPr>
        <w:t>4</w:t>
      </w:r>
      <w:r>
        <w:rPr>
          <w:rFonts w:hint="eastAsia" w:ascii="仿宋" w:hAnsi="仿宋" w:eastAsia="仿宋" w:cs="仿宋"/>
          <w:color w:val="000000"/>
          <w:kern w:val="0"/>
          <w:sz w:val="30"/>
          <w:szCs w:val="30"/>
        </w:rPr>
        <w:t>月</w:t>
      </w:r>
      <w:r>
        <w:rPr>
          <w:rFonts w:hint="eastAsia" w:ascii="仿宋" w:hAnsi="仿宋" w:eastAsia="仿宋" w:cs="仿宋"/>
          <w:sz w:val="30"/>
          <w:szCs w:val="30"/>
        </w:rPr>
        <w:t>15</w:t>
      </w:r>
      <w:r>
        <w:rPr>
          <w:rFonts w:hint="eastAsia" w:ascii="仿宋" w:hAnsi="仿宋" w:eastAsia="仿宋" w:cs="仿宋"/>
          <w:color w:val="000000"/>
          <w:kern w:val="0"/>
          <w:sz w:val="30"/>
          <w:szCs w:val="30"/>
        </w:rPr>
        <w:t>日</w:t>
      </w:r>
      <w:r>
        <w:rPr>
          <w:rFonts w:hint="eastAsia" w:ascii="仿宋" w:hAnsi="仿宋" w:eastAsia="仿宋" w:cs="仿宋"/>
          <w:sz w:val="30"/>
          <w:szCs w:val="30"/>
        </w:rPr>
        <w:t>17</w:t>
      </w:r>
      <w:r>
        <w:rPr>
          <w:rFonts w:hint="eastAsia" w:ascii="仿宋" w:hAnsi="仿宋" w:eastAsia="仿宋" w:cs="仿宋"/>
          <w:color w:val="000000"/>
          <w:kern w:val="0"/>
          <w:sz w:val="30"/>
          <w:szCs w:val="30"/>
        </w:rPr>
        <w:t>时</w:t>
      </w:r>
      <w:r>
        <w:rPr>
          <w:rFonts w:hint="eastAsia" w:ascii="仿宋" w:hAnsi="仿宋" w:eastAsia="仿宋" w:cs="仿宋"/>
          <w:sz w:val="30"/>
          <w:szCs w:val="30"/>
        </w:rPr>
        <w:t>，逾期不予受理。</w:t>
      </w:r>
    </w:p>
    <w:p>
      <w:pPr>
        <w:ind w:firstLine="600" w:firstLineChars="200"/>
        <w:rPr>
          <w:rFonts w:hint="eastAsia" w:ascii="仿宋" w:hAnsi="仿宋" w:eastAsia="仿宋" w:cs="仿宋"/>
          <w:sz w:val="30"/>
          <w:szCs w:val="30"/>
        </w:rPr>
      </w:pPr>
      <w:r>
        <w:rPr>
          <w:rFonts w:hint="eastAsia" w:ascii="仿宋" w:hAnsi="仿宋" w:eastAsia="仿宋" w:cs="仿宋"/>
          <w:color w:val="000000"/>
          <w:kern w:val="0"/>
          <w:sz w:val="30"/>
          <w:szCs w:val="30"/>
        </w:rPr>
        <w:t>具体考试时间、考试形式另行通知。届时，我们将提前通过手机短信、电子邮件等方式，直接联系符合条件的报名者，通知考试时间、地点等相关事项，请报名者保持手机、电话联络畅通。</w:t>
      </w:r>
      <w:r>
        <w:rPr>
          <w:rFonts w:hint="eastAsia" w:ascii="仿宋" w:hAnsi="仿宋" w:eastAsia="仿宋" w:cs="仿宋"/>
          <w:sz w:val="30"/>
          <w:szCs w:val="30"/>
        </w:rPr>
        <w:t>有关岗位通过资格审查人数达不到进入面试比例最低要求的，可取消该岗位招聘计划。</w:t>
      </w:r>
    </w:p>
    <w:p>
      <w:pPr>
        <w:rPr>
          <w:rFonts w:hint="eastAsia" w:ascii="仿宋" w:hAnsi="仿宋" w:eastAsia="仿宋" w:cs="仿宋"/>
          <w:sz w:val="30"/>
          <w:szCs w:val="30"/>
        </w:rPr>
      </w:pPr>
      <w:r>
        <w:rPr>
          <w:rFonts w:hint="eastAsia" w:ascii="仿宋" w:hAnsi="仿宋" w:eastAsia="仿宋" w:cs="仿宋"/>
          <w:sz w:val="30"/>
          <w:szCs w:val="30"/>
        </w:rPr>
        <w:t xml:space="preserve">    2、考试。考试采用笔试和面试两种方式进行，笔试(报考人数不满1：5的比例，将视情况取消该岗位招聘)与面试成绩各占综合成绩的50%。根据笔试成绩（满分100分，最低合格分数线为60分)排名，按1：5的比例确定参加面试人选，面试包括专业能力测评和综合评价。</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3、体检和考察。按照综合成绩从高分到低分的顺序</w:t>
      </w:r>
      <w:r>
        <w:rPr>
          <w:rFonts w:hint="eastAsia" w:ascii="仿宋" w:hAnsi="仿宋" w:eastAsia="仿宋" w:cs="仿宋"/>
          <w:sz w:val="30"/>
          <w:szCs w:val="30"/>
          <w:lang w:eastAsia="zh-CN"/>
        </w:rPr>
        <w:t>等额</w:t>
      </w:r>
      <w:r>
        <w:rPr>
          <w:rFonts w:hint="eastAsia" w:ascii="仿宋" w:hAnsi="仿宋" w:eastAsia="仿宋" w:cs="仿宋"/>
          <w:sz w:val="30"/>
          <w:szCs w:val="30"/>
        </w:rPr>
        <w:t>确定每个岗位应聘者进入体检和考察。体检、考察不合格的，在进入面试的人员中依综合成绩递补。</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体检参照国家《公务员录用体检通用标准（试行）》等相关规定执行。</w:t>
      </w:r>
    </w:p>
    <w:p>
      <w:pPr>
        <w:ind w:firstLine="600" w:firstLineChars="200"/>
        <w:rPr>
          <w:rFonts w:hint="eastAsia" w:ascii="仿宋" w:hAnsi="仿宋" w:eastAsia="仿宋" w:cs="仿宋"/>
          <w:b/>
          <w:sz w:val="30"/>
          <w:szCs w:val="30"/>
        </w:rPr>
      </w:pPr>
      <w:r>
        <w:rPr>
          <w:rFonts w:hint="eastAsia" w:ascii="仿宋" w:hAnsi="仿宋" w:eastAsia="仿宋" w:cs="仿宋"/>
          <w:sz w:val="30"/>
          <w:szCs w:val="30"/>
        </w:rPr>
        <w:t>4、公示和聘用。根据考试成绩和体检、考察情况，确定拟聘用人选，并在</w:t>
      </w:r>
      <w:r>
        <w:rPr>
          <w:rFonts w:hint="eastAsia" w:ascii="仿宋" w:hAnsi="仿宋" w:eastAsia="仿宋" w:cs="仿宋"/>
          <w:color w:val="202020"/>
          <w:kern w:val="0"/>
          <w:sz w:val="30"/>
          <w:szCs w:val="30"/>
        </w:rPr>
        <w:t>人力资源社会保障部中央和国家机关所属事业单位公开招聘服务平台</w:t>
      </w:r>
      <w:r>
        <w:rPr>
          <w:rFonts w:hint="eastAsia" w:ascii="仿宋" w:hAnsi="仿宋" w:eastAsia="仿宋" w:cs="仿宋"/>
          <w:sz w:val="30"/>
          <w:szCs w:val="30"/>
        </w:rPr>
        <w:t>、国家发展和改革委员会网站上进行公示（</w:t>
      </w:r>
      <w:r>
        <w:rPr>
          <w:rFonts w:hint="eastAsia" w:ascii="仿宋" w:hAnsi="仿宋" w:eastAsia="仿宋" w:cs="仿宋"/>
          <w:sz w:val="30"/>
          <w:szCs w:val="30"/>
          <w:u w:val="none"/>
        </w:rPr>
        <w:t>注：公示不少于</w:t>
      </w:r>
      <w:r>
        <w:rPr>
          <w:rFonts w:hint="eastAsia" w:ascii="仿宋" w:hAnsi="仿宋" w:eastAsia="仿宋" w:cs="仿宋"/>
          <w:sz w:val="30"/>
          <w:szCs w:val="30"/>
          <w:u w:val="none"/>
        </w:rPr>
        <w:t>7</w:t>
      </w:r>
      <w:r>
        <w:rPr>
          <w:rFonts w:hint="eastAsia" w:ascii="仿宋" w:hAnsi="仿宋" w:eastAsia="仿宋" w:cs="仿宋"/>
          <w:sz w:val="30"/>
          <w:szCs w:val="30"/>
          <w:u w:val="none"/>
        </w:rPr>
        <w:t>个工作日</w:t>
      </w:r>
      <w:r>
        <w:rPr>
          <w:rFonts w:hint="eastAsia" w:ascii="仿宋" w:hAnsi="仿宋" w:eastAsia="仿宋" w:cs="仿宋"/>
          <w:sz w:val="30"/>
          <w:szCs w:val="30"/>
        </w:rPr>
        <w:t>）。公示结果不影响聘用的，签订聘用合同，办理聘用手续。</w:t>
      </w:r>
      <w:bookmarkStart w:id="0" w:name="_GoBack"/>
      <w:bookmarkEnd w:id="0"/>
    </w:p>
    <w:p>
      <w:pPr>
        <w:spacing w:line="588" w:lineRule="exact"/>
        <w:ind w:firstLine="600" w:firstLineChars="200"/>
        <w:outlineLvl w:val="0"/>
        <w:rPr>
          <w:rFonts w:hint="eastAsia" w:ascii="黑体" w:hAnsi="黑体" w:eastAsia="黑体" w:cs="黑体"/>
          <w:b w:val="0"/>
          <w:bCs w:val="0"/>
          <w:sz w:val="30"/>
          <w:szCs w:val="30"/>
        </w:rPr>
      </w:pPr>
      <w:r>
        <w:rPr>
          <w:rFonts w:hint="eastAsia" w:ascii="黑体" w:hAnsi="黑体" w:eastAsia="黑体" w:cs="黑体"/>
          <w:b w:val="0"/>
          <w:bCs w:val="0"/>
          <w:sz w:val="30"/>
          <w:szCs w:val="30"/>
        </w:rPr>
        <w:t>五、工资福利待遇</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聘用人员为国家发展和改革委员会价格认证中心编制内工作人员，享受国家规定的事业单位工作人员相关工资待遇。</w:t>
      </w:r>
    </w:p>
    <w:p>
      <w:pPr>
        <w:spacing w:line="588" w:lineRule="exact"/>
        <w:ind w:firstLine="600" w:firstLineChars="200"/>
        <w:outlineLvl w:val="0"/>
        <w:rPr>
          <w:rFonts w:hint="eastAsia" w:ascii="黑体" w:hAnsi="黑体" w:eastAsia="黑体" w:cs="黑体"/>
          <w:b w:val="0"/>
          <w:bCs w:val="0"/>
          <w:sz w:val="30"/>
          <w:szCs w:val="30"/>
        </w:rPr>
      </w:pPr>
      <w:r>
        <w:rPr>
          <w:rFonts w:hint="eastAsia" w:ascii="黑体" w:hAnsi="黑体" w:eastAsia="黑体" w:cs="黑体"/>
          <w:b w:val="0"/>
          <w:bCs w:val="0"/>
          <w:sz w:val="30"/>
          <w:szCs w:val="30"/>
        </w:rPr>
        <w:t>六、注意事项</w:t>
      </w:r>
    </w:p>
    <w:p>
      <w:pPr>
        <w:ind w:firstLine="600" w:firstLineChars="200"/>
        <w:rPr>
          <w:rFonts w:hint="eastAsia" w:ascii="仿宋" w:hAnsi="仿宋" w:eastAsia="仿宋" w:cs="仿宋"/>
          <w:b/>
          <w:sz w:val="30"/>
          <w:szCs w:val="30"/>
        </w:rPr>
      </w:pPr>
      <w:r>
        <w:rPr>
          <w:rFonts w:hint="eastAsia" w:ascii="仿宋" w:hAnsi="仿宋" w:eastAsia="仿宋" w:cs="仿宋"/>
          <w:sz w:val="30"/>
          <w:szCs w:val="30"/>
        </w:rPr>
        <w:t>1、报名人员所提交的材料不实的，一经查证，即取消报名人员考试资格及聘用资格。</w:t>
      </w:r>
    </w:p>
    <w:p>
      <w:pPr>
        <w:ind w:firstLine="600" w:firstLineChars="200"/>
        <w:rPr>
          <w:rFonts w:hint="eastAsia" w:ascii="仿宋" w:hAnsi="仿宋" w:eastAsia="仿宋" w:cs="仿宋"/>
          <w:sz w:val="30"/>
          <w:szCs w:val="30"/>
          <w:highlight w:val="lightGray"/>
        </w:rPr>
      </w:pPr>
      <w:r>
        <w:rPr>
          <w:rFonts w:hint="eastAsia" w:ascii="仿宋" w:hAnsi="仿宋" w:eastAsia="仿宋" w:cs="仿宋"/>
          <w:sz w:val="30"/>
          <w:szCs w:val="30"/>
        </w:rPr>
        <w:t>2、参加笔试、面试的人员须携带本人身份证。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3、我中心将在</w:t>
      </w:r>
      <w:r>
        <w:rPr>
          <w:rFonts w:hint="eastAsia" w:ascii="仿宋" w:hAnsi="仿宋" w:eastAsia="仿宋" w:cs="仿宋"/>
          <w:color w:val="202020"/>
          <w:kern w:val="0"/>
          <w:sz w:val="30"/>
          <w:szCs w:val="30"/>
        </w:rPr>
        <w:t>人力资源社会保障部中央和国家机关所属事业单位公开招聘服务平台</w:t>
      </w:r>
      <w:r>
        <w:rPr>
          <w:rFonts w:hint="eastAsia" w:ascii="仿宋" w:hAnsi="仿宋" w:eastAsia="仿宋" w:cs="仿宋"/>
          <w:sz w:val="30"/>
          <w:szCs w:val="30"/>
        </w:rPr>
        <w:t>和国家发展和改革委员会价格认证中心网站发布考试相关信息，请密切关注。</w:t>
      </w:r>
    </w:p>
    <w:p>
      <w:pPr>
        <w:ind w:left="638" w:leftChars="304"/>
        <w:jc w:val="left"/>
        <w:outlineLvl w:val="0"/>
        <w:rPr>
          <w:rStyle w:val="12"/>
          <w:rFonts w:hint="eastAsia" w:ascii="仿宋" w:hAnsi="仿宋" w:eastAsia="仿宋" w:cs="仿宋"/>
        </w:rPr>
      </w:pPr>
      <w:r>
        <w:rPr>
          <w:rFonts w:hint="eastAsia" w:ascii="仿宋" w:hAnsi="仿宋" w:eastAsia="仿宋" w:cs="仿宋"/>
          <w:sz w:val="30"/>
          <w:szCs w:val="30"/>
        </w:rPr>
        <w:t>4、报名网站网址：http://jgrz.ndrc.gov.cn/</w:t>
      </w:r>
      <w:r>
        <w:rPr>
          <w:rFonts w:hint="eastAsia" w:ascii="仿宋" w:hAnsi="仿宋" w:eastAsia="仿宋" w:cs="仿宋"/>
        </w:rPr>
        <w:t xml:space="preserve"> </w:t>
      </w:r>
    </w:p>
    <w:p>
      <w:pPr>
        <w:ind w:left="638" w:leftChars="304"/>
        <w:jc w:val="left"/>
        <w:outlineLvl w:val="0"/>
        <w:rPr>
          <w:rFonts w:hint="eastAsia" w:ascii="仿宋" w:hAnsi="仿宋" w:eastAsia="仿宋" w:cs="仿宋"/>
          <w:sz w:val="30"/>
          <w:szCs w:val="30"/>
          <w:vertAlign w:val="superscript"/>
        </w:rPr>
      </w:pPr>
      <w:r>
        <w:rPr>
          <w:rFonts w:hint="eastAsia" w:ascii="仿宋" w:hAnsi="仿宋" w:eastAsia="仿宋" w:cs="仿宋"/>
          <w:sz w:val="30"/>
          <w:szCs w:val="30"/>
        </w:rPr>
        <w:t>5、监督举报电话：010-68015506。</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附：报名表</w:t>
      </w:r>
    </w:p>
    <w:p>
      <w:pPr>
        <w:ind w:firstLine="600" w:firstLineChars="200"/>
        <w:rPr>
          <w:rFonts w:hint="eastAsia" w:ascii="仿宋" w:hAnsi="仿宋" w:eastAsia="仿宋" w:cs="仿宋"/>
          <w:sz w:val="30"/>
          <w:szCs w:val="30"/>
        </w:rPr>
      </w:pPr>
    </w:p>
    <w:p>
      <w:pPr>
        <w:ind w:firstLine="600" w:firstLineChars="200"/>
        <w:rPr>
          <w:rFonts w:hint="eastAsia" w:ascii="仿宋" w:hAnsi="仿宋" w:eastAsia="仿宋" w:cs="仿宋"/>
          <w:sz w:val="30"/>
          <w:szCs w:val="30"/>
        </w:rPr>
      </w:pPr>
    </w:p>
    <w:p>
      <w:pPr>
        <w:ind w:firstLine="600" w:firstLineChars="200"/>
        <w:rPr>
          <w:rFonts w:hint="eastAsia" w:ascii="仿宋" w:hAnsi="仿宋" w:eastAsia="仿宋" w:cs="仿宋"/>
          <w:color w:val="202020"/>
          <w:kern w:val="0"/>
          <w:sz w:val="30"/>
          <w:szCs w:val="30"/>
        </w:rPr>
      </w:pPr>
      <w:r>
        <w:rPr>
          <w:rFonts w:hint="eastAsia" w:ascii="仿宋" w:hAnsi="仿宋" w:eastAsia="仿宋" w:cs="仿宋"/>
          <w:sz w:val="30"/>
          <w:szCs w:val="30"/>
        </w:rPr>
        <w:t xml:space="preserve">              </w:t>
      </w:r>
      <w:r>
        <w:rPr>
          <w:rFonts w:hint="eastAsia" w:ascii="仿宋" w:hAnsi="仿宋" w:eastAsia="仿宋" w:cs="仿宋"/>
          <w:color w:val="202020"/>
          <w:kern w:val="0"/>
          <w:sz w:val="30"/>
          <w:szCs w:val="30"/>
        </w:rPr>
        <w:t xml:space="preserve">               国家发展和改革委员会</w:t>
      </w:r>
    </w:p>
    <w:p>
      <w:pPr>
        <w:ind w:firstLine="600" w:firstLineChars="200"/>
        <w:rPr>
          <w:rFonts w:hint="eastAsia" w:ascii="仿宋" w:hAnsi="仿宋" w:eastAsia="仿宋" w:cs="仿宋"/>
          <w:color w:val="202020"/>
          <w:kern w:val="0"/>
          <w:sz w:val="30"/>
          <w:szCs w:val="30"/>
        </w:rPr>
      </w:pPr>
      <w:r>
        <w:rPr>
          <w:rFonts w:hint="eastAsia" w:ascii="仿宋" w:hAnsi="仿宋" w:eastAsia="仿宋" w:cs="仿宋"/>
          <w:color w:val="202020"/>
          <w:kern w:val="0"/>
          <w:sz w:val="30"/>
          <w:szCs w:val="30"/>
        </w:rPr>
        <w:t xml:space="preserve">                                 价格认证中心</w:t>
      </w:r>
    </w:p>
    <w:p>
      <w:pPr>
        <w:ind w:firstLine="600" w:firstLineChars="200"/>
        <w:rPr>
          <w:rFonts w:hint="eastAsia" w:ascii="仿宋" w:hAnsi="仿宋" w:eastAsia="仿宋" w:cs="仿宋"/>
          <w:color w:val="202020"/>
          <w:kern w:val="0"/>
          <w:sz w:val="30"/>
          <w:szCs w:val="30"/>
        </w:rPr>
        <w:sectPr>
          <w:footerReference r:id="rId3"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color w:val="202020"/>
          <w:kern w:val="0"/>
          <w:sz w:val="30"/>
          <w:szCs w:val="30"/>
        </w:rPr>
        <w:t xml:space="preserve">                              </w:t>
      </w:r>
      <w:r>
        <w:rPr>
          <w:rFonts w:hint="eastAsia" w:ascii="仿宋" w:hAnsi="仿宋" w:eastAsia="仿宋" w:cs="仿宋"/>
          <w:sz w:val="30"/>
          <w:szCs w:val="30"/>
        </w:rPr>
        <w:t xml:space="preserve"> 2021</w:t>
      </w:r>
      <w:r>
        <w:rPr>
          <w:rFonts w:hint="eastAsia" w:ascii="仿宋" w:hAnsi="仿宋" w:eastAsia="仿宋" w:cs="仿宋"/>
          <w:color w:val="202020"/>
          <w:kern w:val="0"/>
          <w:sz w:val="30"/>
          <w:szCs w:val="30"/>
        </w:rPr>
        <w:t>年</w:t>
      </w:r>
      <w:r>
        <w:rPr>
          <w:rFonts w:hint="eastAsia" w:ascii="仿宋" w:hAnsi="仿宋" w:eastAsia="仿宋" w:cs="仿宋"/>
          <w:sz w:val="30"/>
          <w:szCs w:val="30"/>
        </w:rPr>
        <w:t>4</w:t>
      </w:r>
      <w:r>
        <w:rPr>
          <w:rFonts w:hint="eastAsia" w:ascii="仿宋" w:hAnsi="仿宋" w:eastAsia="仿宋" w:cs="仿宋"/>
          <w:color w:val="202020"/>
          <w:kern w:val="0"/>
          <w:sz w:val="30"/>
          <w:szCs w:val="30"/>
        </w:rPr>
        <w:t>月</w:t>
      </w:r>
      <w:r>
        <w:rPr>
          <w:rFonts w:hint="eastAsia" w:ascii="仿宋" w:hAnsi="仿宋" w:eastAsia="仿宋" w:cs="仿宋"/>
          <w:sz w:val="30"/>
          <w:szCs w:val="30"/>
        </w:rPr>
        <w:t>2</w:t>
      </w:r>
      <w:r>
        <w:rPr>
          <w:rFonts w:hint="eastAsia" w:ascii="仿宋" w:hAnsi="仿宋" w:eastAsia="仿宋" w:cs="仿宋"/>
          <w:color w:val="202020"/>
          <w:kern w:val="0"/>
          <w:sz w:val="30"/>
          <w:szCs w:val="30"/>
        </w:rPr>
        <w:t>日</w:t>
      </w:r>
    </w:p>
    <w:tbl>
      <w:tblPr>
        <w:tblStyle w:val="8"/>
        <w:tblW w:w="8946" w:type="dxa"/>
        <w:tblInd w:w="0" w:type="dxa"/>
        <w:tblLayout w:type="fixed"/>
        <w:tblCellMar>
          <w:top w:w="0" w:type="dxa"/>
          <w:left w:w="108" w:type="dxa"/>
          <w:bottom w:w="0" w:type="dxa"/>
          <w:right w:w="108" w:type="dxa"/>
        </w:tblCellMar>
      </w:tblPr>
      <w:tblGrid>
        <w:gridCol w:w="1386"/>
        <w:gridCol w:w="1005"/>
        <w:gridCol w:w="267"/>
        <w:gridCol w:w="1133"/>
        <w:gridCol w:w="1032"/>
        <w:gridCol w:w="107"/>
        <w:gridCol w:w="134"/>
        <w:gridCol w:w="1181"/>
        <w:gridCol w:w="963"/>
        <w:gridCol w:w="131"/>
        <w:gridCol w:w="746"/>
        <w:gridCol w:w="861"/>
      </w:tblGrid>
      <w:tr>
        <w:tblPrEx>
          <w:tblCellMar>
            <w:top w:w="0" w:type="dxa"/>
            <w:left w:w="108" w:type="dxa"/>
            <w:bottom w:w="0" w:type="dxa"/>
            <w:right w:w="108" w:type="dxa"/>
          </w:tblCellMar>
        </w:tblPrEx>
        <w:trPr>
          <w:trHeight w:val="435" w:hRule="atLeast"/>
        </w:trPr>
        <w:tc>
          <w:tcPr>
            <w:tcW w:w="8946" w:type="dxa"/>
            <w:gridSpan w:val="12"/>
            <w:tcBorders>
              <w:top w:val="nil"/>
              <w:left w:val="nil"/>
              <w:bottom w:val="nil"/>
              <w:right w:val="nil"/>
            </w:tcBorders>
            <w:shd w:val="clear" w:color="auto" w:fill="auto"/>
            <w:vAlign w:val="center"/>
          </w:tcPr>
          <w:p>
            <w:pPr>
              <w:widowControl/>
              <w:jc w:val="center"/>
              <w:rPr>
                <w:rFonts w:ascii="黑体" w:hAnsi="宋体" w:eastAsia="黑体" w:cs="宋体"/>
                <w:b/>
                <w:bCs/>
                <w:kern w:val="0"/>
                <w:sz w:val="36"/>
                <w:szCs w:val="36"/>
              </w:rPr>
            </w:pPr>
            <w:r>
              <w:rPr>
                <w:rFonts w:hint="eastAsia" w:ascii="黑体" w:hAnsi="宋体" w:eastAsia="黑体" w:cs="宋体"/>
                <w:b/>
                <w:bCs/>
                <w:kern w:val="0"/>
                <w:sz w:val="36"/>
                <w:szCs w:val="36"/>
              </w:rPr>
              <w:t>考  生  报  名  表</w:t>
            </w:r>
          </w:p>
        </w:tc>
      </w:tr>
      <w:tr>
        <w:tblPrEx>
          <w:tblCellMar>
            <w:top w:w="0" w:type="dxa"/>
            <w:left w:w="108" w:type="dxa"/>
            <w:bottom w:w="0" w:type="dxa"/>
            <w:right w:w="108" w:type="dxa"/>
          </w:tblCellMar>
        </w:tblPrEx>
        <w:trPr>
          <w:trHeight w:val="600" w:hRule="atLeast"/>
        </w:trPr>
        <w:tc>
          <w:tcPr>
            <w:tcW w:w="1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姓    名</w:t>
            </w:r>
          </w:p>
        </w:tc>
        <w:tc>
          <w:tcPr>
            <w:tcW w:w="12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性    别</w:t>
            </w:r>
          </w:p>
        </w:tc>
        <w:tc>
          <w:tcPr>
            <w:tcW w:w="11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p>
        </w:tc>
        <w:tc>
          <w:tcPr>
            <w:tcW w:w="131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民    族</w:t>
            </w:r>
          </w:p>
        </w:tc>
        <w:tc>
          <w:tcPr>
            <w:tcW w:w="10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p>
        </w:tc>
        <w:tc>
          <w:tcPr>
            <w:tcW w:w="1607" w:type="dxa"/>
            <w:gridSpan w:val="2"/>
            <w:vMerge w:val="restart"/>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照片</w:t>
            </w: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出生年月</w:t>
            </w:r>
          </w:p>
        </w:tc>
        <w:tc>
          <w:tcPr>
            <w:tcW w:w="12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p>
        </w:tc>
        <w:tc>
          <w:tcPr>
            <w:tcW w:w="11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政治面貌</w:t>
            </w:r>
          </w:p>
        </w:tc>
        <w:tc>
          <w:tcPr>
            <w:tcW w:w="113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学    历</w:t>
            </w:r>
          </w:p>
        </w:tc>
        <w:tc>
          <w:tcPr>
            <w:tcW w:w="10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p>
        </w:tc>
        <w:tc>
          <w:tcPr>
            <w:tcW w:w="1607"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身份证号</w:t>
            </w:r>
          </w:p>
        </w:tc>
        <w:tc>
          <w:tcPr>
            <w:tcW w:w="5953"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p>
        </w:tc>
        <w:tc>
          <w:tcPr>
            <w:tcW w:w="1607"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籍    贯</w:t>
            </w:r>
          </w:p>
        </w:tc>
        <w:tc>
          <w:tcPr>
            <w:tcW w:w="1272" w:type="dxa"/>
            <w:gridSpan w:val="2"/>
            <w:tcBorders>
              <w:top w:val="nil"/>
              <w:left w:val="nil"/>
              <w:bottom w:val="nil"/>
              <w:right w:val="nil"/>
            </w:tcBorders>
            <w:shd w:val="clear" w:color="auto" w:fill="auto"/>
            <w:vAlign w:val="center"/>
          </w:tcPr>
          <w:p>
            <w:pPr>
              <w:widowControl/>
              <w:jc w:val="center"/>
              <w:rPr>
                <w:rFonts w:ascii="宋体" w:hAnsi="宋体" w:cs="宋体"/>
                <w:kern w:val="0"/>
                <w:sz w:val="22"/>
              </w:rPr>
            </w:pPr>
          </w:p>
        </w:tc>
        <w:tc>
          <w:tcPr>
            <w:tcW w:w="1133"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生    源所 在 地</w:t>
            </w:r>
          </w:p>
        </w:tc>
        <w:tc>
          <w:tcPr>
            <w:tcW w:w="1139" w:type="dxa"/>
            <w:gridSpan w:val="2"/>
            <w:tcBorders>
              <w:top w:val="nil"/>
              <w:left w:val="nil"/>
              <w:bottom w:val="nil"/>
              <w:right w:val="nil"/>
            </w:tcBorders>
            <w:shd w:val="clear" w:color="auto" w:fill="auto"/>
            <w:vAlign w:val="center"/>
          </w:tcPr>
          <w:p>
            <w:pPr>
              <w:widowControl/>
              <w:jc w:val="left"/>
              <w:rPr>
                <w:rFonts w:ascii="宋体" w:hAnsi="宋体" w:cs="宋体"/>
                <w:kern w:val="0"/>
                <w:sz w:val="22"/>
              </w:rPr>
            </w:pPr>
          </w:p>
        </w:tc>
        <w:tc>
          <w:tcPr>
            <w:tcW w:w="1315" w:type="dxa"/>
            <w:gridSpan w:val="2"/>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培养方式</w:t>
            </w:r>
          </w:p>
        </w:tc>
        <w:tc>
          <w:tcPr>
            <w:tcW w:w="1094" w:type="dxa"/>
            <w:gridSpan w:val="2"/>
            <w:tcBorders>
              <w:top w:val="nil"/>
              <w:left w:val="nil"/>
              <w:bottom w:val="nil"/>
              <w:right w:val="single" w:color="auto" w:sz="4" w:space="0"/>
            </w:tcBorders>
            <w:shd w:val="clear" w:color="auto" w:fill="auto"/>
            <w:vAlign w:val="center"/>
          </w:tcPr>
          <w:p>
            <w:pPr>
              <w:widowControl/>
              <w:jc w:val="left"/>
              <w:rPr>
                <w:rFonts w:ascii="宋体" w:hAnsi="宋体" w:cs="宋体"/>
                <w:kern w:val="0"/>
                <w:sz w:val="22"/>
              </w:rPr>
            </w:pPr>
          </w:p>
        </w:tc>
        <w:tc>
          <w:tcPr>
            <w:tcW w:w="1607"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531" w:hRule="atLeast"/>
        </w:trPr>
        <w:tc>
          <w:tcPr>
            <w:tcW w:w="26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报考单位及部门</w:t>
            </w:r>
          </w:p>
        </w:tc>
        <w:tc>
          <w:tcPr>
            <w:tcW w:w="358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p>
        </w:tc>
        <w:tc>
          <w:tcPr>
            <w:tcW w:w="10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岗位</w:t>
            </w:r>
          </w:p>
        </w:tc>
        <w:tc>
          <w:tcPr>
            <w:tcW w:w="16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2"/>
              </w:rPr>
              <w:t>户口所在地详细地址</w:t>
            </w:r>
          </w:p>
        </w:tc>
        <w:tc>
          <w:tcPr>
            <w:tcW w:w="354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2"/>
              </w:rPr>
              <w:t>户口所在  派 出 所</w:t>
            </w:r>
          </w:p>
        </w:tc>
        <w:tc>
          <w:tcPr>
            <w:tcW w:w="270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毕业院校</w:t>
            </w:r>
          </w:p>
        </w:tc>
        <w:tc>
          <w:tcPr>
            <w:tcW w:w="3544"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所学专业</w:t>
            </w:r>
          </w:p>
        </w:tc>
        <w:tc>
          <w:tcPr>
            <w:tcW w:w="270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外语水平</w:t>
            </w:r>
          </w:p>
        </w:tc>
        <w:tc>
          <w:tcPr>
            <w:tcW w:w="3544"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计 算 机水    平</w:t>
            </w:r>
          </w:p>
        </w:tc>
        <w:tc>
          <w:tcPr>
            <w:tcW w:w="270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联系电话</w:t>
            </w:r>
          </w:p>
        </w:tc>
        <w:tc>
          <w:tcPr>
            <w:tcW w:w="3544"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p>
        </w:tc>
        <w:tc>
          <w:tcPr>
            <w:tcW w:w="1315" w:type="dxa"/>
            <w:gridSpan w:val="2"/>
            <w:tcBorders>
              <w:top w:val="nil"/>
              <w:left w:val="nil"/>
              <w:bottom w:val="nil"/>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EMAIL地址</w:t>
            </w:r>
          </w:p>
        </w:tc>
        <w:tc>
          <w:tcPr>
            <w:tcW w:w="270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758"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特    长</w:t>
            </w:r>
          </w:p>
        </w:tc>
        <w:tc>
          <w:tcPr>
            <w:tcW w:w="7560"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1408"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简    历</w:t>
            </w:r>
          </w:p>
        </w:tc>
        <w:tc>
          <w:tcPr>
            <w:tcW w:w="7560" w:type="dxa"/>
            <w:gridSpan w:val="11"/>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kern w:val="0"/>
                <w:sz w:val="22"/>
              </w:rPr>
            </w:pPr>
            <w:r>
              <w:rPr>
                <w:rFonts w:hint="eastAsia" w:ascii="宋体" w:hAnsi="宋体" w:cs="宋体"/>
                <w:kern w:val="0"/>
                <w:sz w:val="22"/>
              </w:rPr>
              <w:t>(请从高中填起)</w:t>
            </w:r>
          </w:p>
        </w:tc>
      </w:tr>
      <w:tr>
        <w:tblPrEx>
          <w:tblCellMar>
            <w:top w:w="0" w:type="dxa"/>
            <w:left w:w="108" w:type="dxa"/>
            <w:bottom w:w="0" w:type="dxa"/>
            <w:right w:w="108" w:type="dxa"/>
          </w:tblCellMar>
        </w:tblPrEx>
        <w:trPr>
          <w:trHeight w:val="1116"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发表文章</w:t>
            </w:r>
          </w:p>
          <w:p>
            <w:pPr>
              <w:widowControl/>
              <w:jc w:val="center"/>
              <w:rPr>
                <w:rFonts w:ascii="宋体" w:hAnsi="宋体" w:cs="宋体"/>
                <w:kern w:val="0"/>
                <w:sz w:val="22"/>
              </w:rPr>
            </w:pPr>
            <w:r>
              <w:rPr>
                <w:rFonts w:hint="eastAsia" w:ascii="宋体" w:hAnsi="宋体" w:cs="宋体"/>
                <w:kern w:val="0"/>
                <w:sz w:val="22"/>
              </w:rPr>
              <w:t>及主要研</w:t>
            </w:r>
          </w:p>
          <w:p>
            <w:pPr>
              <w:widowControl/>
              <w:jc w:val="center"/>
              <w:rPr>
                <w:rFonts w:ascii="宋体" w:hAnsi="宋体" w:cs="宋体"/>
                <w:kern w:val="0"/>
                <w:sz w:val="22"/>
              </w:rPr>
            </w:pPr>
            <w:r>
              <w:rPr>
                <w:rFonts w:hint="eastAsia" w:ascii="宋体" w:hAnsi="宋体" w:cs="宋体"/>
                <w:kern w:val="0"/>
                <w:sz w:val="22"/>
              </w:rPr>
              <w:t>究 成 果</w:t>
            </w:r>
          </w:p>
        </w:tc>
        <w:tc>
          <w:tcPr>
            <w:tcW w:w="7560"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1269"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家庭成员</w:t>
            </w:r>
          </w:p>
          <w:p>
            <w:pPr>
              <w:widowControl/>
              <w:jc w:val="center"/>
              <w:rPr>
                <w:rFonts w:ascii="宋体" w:hAnsi="宋体" w:cs="宋体"/>
                <w:kern w:val="0"/>
                <w:sz w:val="22"/>
              </w:rPr>
            </w:pPr>
            <w:r>
              <w:rPr>
                <w:rFonts w:hint="eastAsia" w:ascii="宋体" w:hAnsi="宋体" w:cs="宋体"/>
                <w:kern w:val="0"/>
                <w:sz w:val="22"/>
              </w:rPr>
              <w:t>及主要社</w:t>
            </w:r>
          </w:p>
          <w:p>
            <w:pPr>
              <w:widowControl/>
              <w:jc w:val="center"/>
              <w:rPr>
                <w:rFonts w:ascii="宋体" w:hAnsi="宋体" w:cs="宋体"/>
                <w:kern w:val="0"/>
                <w:sz w:val="22"/>
              </w:rPr>
            </w:pPr>
            <w:r>
              <w:rPr>
                <w:rFonts w:hint="eastAsia" w:ascii="宋体" w:hAnsi="宋体" w:cs="宋体"/>
                <w:kern w:val="0"/>
                <w:sz w:val="22"/>
              </w:rPr>
              <w:t>会 关 系</w:t>
            </w:r>
          </w:p>
          <w:p>
            <w:pPr>
              <w:widowControl/>
              <w:jc w:val="center"/>
              <w:rPr>
                <w:rFonts w:ascii="宋体" w:hAnsi="宋体" w:cs="宋体"/>
                <w:kern w:val="0"/>
                <w:sz w:val="22"/>
              </w:rPr>
            </w:pPr>
            <w:r>
              <w:rPr>
                <w:rFonts w:hint="eastAsia" w:ascii="宋体" w:hAnsi="宋体" w:cs="宋体"/>
                <w:kern w:val="0"/>
                <w:sz w:val="22"/>
              </w:rPr>
              <w:t>情    况</w:t>
            </w:r>
          </w:p>
        </w:tc>
        <w:tc>
          <w:tcPr>
            <w:tcW w:w="7560" w:type="dxa"/>
            <w:gridSpan w:val="11"/>
            <w:tcBorders>
              <w:top w:val="single" w:color="auto" w:sz="4" w:space="0"/>
              <w:left w:val="nil"/>
              <w:bottom w:val="nil"/>
              <w:right w:val="single" w:color="000000" w:sz="4" w:space="0"/>
            </w:tcBorders>
            <w:shd w:val="clear" w:color="auto" w:fill="auto"/>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330" w:hRule="atLeast"/>
        </w:trPr>
        <w:tc>
          <w:tcPr>
            <w:tcW w:w="13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备    注</w:t>
            </w:r>
          </w:p>
        </w:tc>
        <w:tc>
          <w:tcPr>
            <w:tcW w:w="7560" w:type="dxa"/>
            <w:gridSpan w:val="11"/>
            <w:tcBorders>
              <w:top w:val="single" w:color="auto" w:sz="4" w:space="0"/>
              <w:left w:val="nil"/>
              <w:bottom w:val="nil"/>
              <w:right w:val="single" w:color="000000"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1.请如实填写表内各相关信息，不得遗漏。如有不实</w:t>
            </w:r>
            <w:r>
              <w:rPr>
                <w:rFonts w:ascii="宋体" w:hAnsi="宋体" w:cs="宋体"/>
                <w:kern w:val="0"/>
                <w:sz w:val="22"/>
              </w:rPr>
              <w:t>后果自负</w:t>
            </w:r>
            <w:r>
              <w:rPr>
                <w:rFonts w:hint="eastAsia" w:ascii="宋体" w:hAnsi="宋体" w:cs="宋体"/>
                <w:kern w:val="0"/>
                <w:sz w:val="22"/>
              </w:rPr>
              <w:t>。</w:t>
            </w:r>
          </w:p>
        </w:tc>
      </w:tr>
      <w:tr>
        <w:tblPrEx>
          <w:tblCellMar>
            <w:top w:w="0" w:type="dxa"/>
            <w:left w:w="108" w:type="dxa"/>
            <w:bottom w:w="0" w:type="dxa"/>
            <w:right w:w="108" w:type="dxa"/>
          </w:tblCellMar>
        </w:tblPrEx>
        <w:trPr>
          <w:trHeight w:val="345" w:hRule="atLeast"/>
        </w:trPr>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7560" w:type="dxa"/>
            <w:gridSpan w:val="11"/>
            <w:tcBorders>
              <w:top w:val="nil"/>
              <w:left w:val="nil"/>
              <w:bottom w:val="nil"/>
              <w:right w:val="single" w:color="000000"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2.能否如期取得毕业证书、学位证书：是   否</w:t>
            </w:r>
          </w:p>
        </w:tc>
      </w:tr>
      <w:tr>
        <w:tblPrEx>
          <w:tblCellMar>
            <w:top w:w="0" w:type="dxa"/>
            <w:left w:w="108" w:type="dxa"/>
            <w:bottom w:w="0" w:type="dxa"/>
            <w:right w:w="108" w:type="dxa"/>
          </w:tblCellMar>
        </w:tblPrEx>
        <w:trPr>
          <w:trHeight w:val="345" w:hRule="atLeast"/>
        </w:trPr>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7560" w:type="dxa"/>
            <w:gridSpan w:val="11"/>
            <w:tcBorders>
              <w:top w:val="nil"/>
              <w:left w:val="nil"/>
              <w:bottom w:val="nil"/>
              <w:right w:val="single" w:color="000000"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xml:space="preserve">3.是否为学校集体户口：是   否     </w:t>
            </w:r>
          </w:p>
        </w:tc>
      </w:tr>
      <w:tr>
        <w:tblPrEx>
          <w:tblCellMar>
            <w:top w:w="0" w:type="dxa"/>
            <w:left w:w="108" w:type="dxa"/>
            <w:bottom w:w="0" w:type="dxa"/>
            <w:right w:w="108" w:type="dxa"/>
          </w:tblCellMar>
        </w:tblPrEx>
        <w:trPr>
          <w:trHeight w:val="330" w:hRule="atLeast"/>
        </w:trPr>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3437" w:type="dxa"/>
            <w:gridSpan w:val="4"/>
            <w:tcBorders>
              <w:top w:val="nil"/>
              <w:left w:val="single" w:color="auto" w:sz="4" w:space="0"/>
              <w:bottom w:val="single" w:color="auto" w:sz="4" w:space="0"/>
              <w:right w:val="nil"/>
            </w:tcBorders>
            <w:shd w:val="clear" w:color="auto" w:fill="auto"/>
          </w:tcPr>
          <w:p>
            <w:pPr>
              <w:widowControl/>
              <w:jc w:val="left"/>
              <w:rPr>
                <w:rFonts w:ascii="宋体" w:hAnsi="宋体" w:cs="宋体"/>
                <w:kern w:val="0"/>
                <w:sz w:val="22"/>
              </w:rPr>
            </w:pPr>
            <w:r>
              <w:rPr>
                <w:rFonts w:hint="eastAsia" w:ascii="宋体" w:hAnsi="宋体" w:cs="宋体"/>
                <w:kern w:val="0"/>
                <w:sz w:val="22"/>
              </w:rPr>
              <w:t>4.其他需要说明的问题：</w:t>
            </w:r>
          </w:p>
        </w:tc>
        <w:tc>
          <w:tcPr>
            <w:tcW w:w="241" w:type="dxa"/>
            <w:gridSpan w:val="2"/>
            <w:tcBorders>
              <w:top w:val="nil"/>
              <w:left w:val="nil"/>
              <w:bottom w:val="single" w:color="auto" w:sz="4" w:space="0"/>
              <w:right w:val="nil"/>
            </w:tcBorders>
            <w:shd w:val="clear" w:color="auto" w:fill="auto"/>
          </w:tcPr>
          <w:p>
            <w:pPr>
              <w:widowControl/>
              <w:jc w:val="left"/>
              <w:rPr>
                <w:rFonts w:ascii="宋体" w:hAnsi="宋体" w:cs="宋体"/>
                <w:kern w:val="0"/>
                <w:sz w:val="22"/>
              </w:rPr>
            </w:pPr>
            <w:r>
              <w:rPr>
                <w:rFonts w:hint="eastAsia" w:ascii="宋体" w:hAnsi="宋体" w:cs="宋体"/>
                <w:kern w:val="0"/>
                <w:sz w:val="22"/>
              </w:rPr>
              <w:t>　</w:t>
            </w:r>
          </w:p>
        </w:tc>
        <w:tc>
          <w:tcPr>
            <w:tcW w:w="2144" w:type="dxa"/>
            <w:gridSpan w:val="2"/>
            <w:tcBorders>
              <w:top w:val="nil"/>
              <w:left w:val="nil"/>
              <w:bottom w:val="single" w:color="auto" w:sz="4" w:space="0"/>
              <w:right w:val="nil"/>
            </w:tcBorders>
            <w:shd w:val="clear" w:color="auto" w:fill="auto"/>
          </w:tcPr>
          <w:p>
            <w:pPr>
              <w:widowControl/>
              <w:ind w:left="-2" w:leftChars="-497" w:hanging="1042" w:hangingChars="474"/>
              <w:jc w:val="left"/>
              <w:rPr>
                <w:rFonts w:ascii="宋体" w:hAnsi="宋体" w:cs="宋体"/>
                <w:kern w:val="0"/>
                <w:sz w:val="22"/>
              </w:rPr>
            </w:pPr>
          </w:p>
        </w:tc>
        <w:tc>
          <w:tcPr>
            <w:tcW w:w="877" w:type="dxa"/>
            <w:gridSpan w:val="2"/>
            <w:tcBorders>
              <w:top w:val="nil"/>
              <w:left w:val="nil"/>
              <w:bottom w:val="single" w:color="auto" w:sz="4" w:space="0"/>
              <w:right w:val="nil"/>
            </w:tcBorders>
            <w:shd w:val="clear" w:color="auto" w:fill="auto"/>
          </w:tcPr>
          <w:p>
            <w:pPr>
              <w:widowControl/>
              <w:jc w:val="left"/>
              <w:rPr>
                <w:rFonts w:ascii="宋体" w:hAnsi="宋体" w:cs="宋体"/>
                <w:kern w:val="0"/>
                <w:sz w:val="22"/>
              </w:rPr>
            </w:pPr>
          </w:p>
        </w:tc>
        <w:tc>
          <w:tcPr>
            <w:tcW w:w="86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330" w:hRule="atLeast"/>
        </w:trPr>
        <w:tc>
          <w:tcPr>
            <w:tcW w:w="1386" w:type="dxa"/>
            <w:tcBorders>
              <w:top w:val="nil"/>
              <w:left w:val="nil"/>
              <w:bottom w:val="nil"/>
              <w:right w:val="nil"/>
            </w:tcBorders>
            <w:shd w:val="clear" w:color="auto" w:fill="auto"/>
            <w:vAlign w:val="center"/>
          </w:tcPr>
          <w:p>
            <w:pPr>
              <w:widowControl/>
              <w:jc w:val="center"/>
              <w:rPr>
                <w:rFonts w:ascii="宋体" w:hAnsi="宋体" w:cs="宋体"/>
                <w:kern w:val="0"/>
                <w:sz w:val="22"/>
              </w:rPr>
            </w:pPr>
          </w:p>
        </w:tc>
        <w:tc>
          <w:tcPr>
            <w:tcW w:w="1005" w:type="dxa"/>
            <w:tcBorders>
              <w:top w:val="nil"/>
              <w:left w:val="nil"/>
              <w:bottom w:val="nil"/>
              <w:right w:val="nil"/>
            </w:tcBorders>
            <w:shd w:val="clear" w:color="auto" w:fill="auto"/>
          </w:tcPr>
          <w:p>
            <w:pPr>
              <w:widowControl/>
              <w:jc w:val="left"/>
              <w:rPr>
                <w:rFonts w:ascii="宋体" w:hAnsi="宋体" w:cs="宋体"/>
                <w:kern w:val="0"/>
                <w:sz w:val="22"/>
              </w:rPr>
            </w:pPr>
          </w:p>
        </w:tc>
        <w:tc>
          <w:tcPr>
            <w:tcW w:w="2432" w:type="dxa"/>
            <w:gridSpan w:val="3"/>
            <w:tcBorders>
              <w:top w:val="nil"/>
              <w:left w:val="nil"/>
              <w:bottom w:val="nil"/>
              <w:right w:val="nil"/>
            </w:tcBorders>
            <w:shd w:val="clear" w:color="auto" w:fill="auto"/>
          </w:tcPr>
          <w:p>
            <w:pPr>
              <w:widowControl/>
              <w:jc w:val="left"/>
              <w:rPr>
                <w:rFonts w:ascii="宋体" w:hAnsi="宋体" w:cs="宋体"/>
                <w:kern w:val="0"/>
                <w:sz w:val="22"/>
              </w:rPr>
            </w:pPr>
          </w:p>
        </w:tc>
        <w:tc>
          <w:tcPr>
            <w:tcW w:w="241" w:type="dxa"/>
            <w:gridSpan w:val="2"/>
            <w:tcBorders>
              <w:top w:val="nil"/>
              <w:left w:val="nil"/>
              <w:bottom w:val="nil"/>
              <w:right w:val="nil"/>
            </w:tcBorders>
            <w:shd w:val="clear" w:color="auto" w:fill="auto"/>
          </w:tcPr>
          <w:p>
            <w:pPr>
              <w:widowControl/>
              <w:jc w:val="left"/>
              <w:rPr>
                <w:rFonts w:ascii="宋体" w:hAnsi="宋体" w:cs="宋体"/>
                <w:kern w:val="0"/>
                <w:sz w:val="22"/>
              </w:rPr>
            </w:pPr>
          </w:p>
        </w:tc>
        <w:tc>
          <w:tcPr>
            <w:tcW w:w="3882" w:type="dxa"/>
            <w:gridSpan w:val="5"/>
            <w:tcBorders>
              <w:top w:val="nil"/>
              <w:left w:val="nil"/>
              <w:bottom w:val="nil"/>
              <w:right w:val="nil"/>
            </w:tcBorders>
            <w:shd w:val="clear" w:color="auto" w:fill="auto"/>
          </w:tcPr>
          <w:p>
            <w:pPr>
              <w:widowControl/>
              <w:wordWrap w:val="0"/>
              <w:ind w:right="440"/>
              <w:jc w:val="right"/>
              <w:rPr>
                <w:rFonts w:ascii="宋体" w:hAnsi="宋体" w:cs="宋体"/>
                <w:kern w:val="0"/>
                <w:sz w:val="22"/>
              </w:rPr>
            </w:pPr>
            <w:r>
              <w:rPr>
                <w:rFonts w:hint="eastAsia" w:ascii="宋体" w:hAnsi="宋体" w:cs="宋体"/>
                <w:kern w:val="0"/>
                <w:sz w:val="22"/>
              </w:rPr>
              <w:t>年    月  日填报</w:t>
            </w:r>
          </w:p>
        </w:tc>
      </w:tr>
    </w:tbl>
    <w:p>
      <w:pPr>
        <w:ind w:firstLine="600" w:firstLineChars="200"/>
        <w:rPr>
          <w:rFonts w:ascii="华文宋体" w:hAnsi="华文宋体" w:eastAsia="华文宋体"/>
          <w:color w:val="202020"/>
          <w:kern w:val="0"/>
          <w:sz w:val="30"/>
          <w:szCs w:val="30"/>
        </w:rPr>
      </w:pPr>
    </w:p>
    <w:sectPr>
      <w:footerReference r:id="rId4" w:type="default"/>
      <w:pgSz w:w="11906" w:h="16838"/>
      <w:pgMar w:top="1985"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altName w:val="宋体"/>
    <w:panose1 w:val="02010600040101010101"/>
    <w:charset w:val="86"/>
    <w:family w:val="auto"/>
    <w:pitch w:val="default"/>
    <w:sig w:usb0="00000000" w:usb1="00000000" w:usb2="00000010" w:usb3="00000000" w:csb0="0004009F" w:csb1="00000000"/>
  </w:font>
  <w:font w:name="方正小标宋_GBK">
    <w:altName w:val="微软雅黑"/>
    <w:panose1 w:val="02000000000000000000"/>
    <w:charset w:val="86"/>
    <w:family w:val="auto"/>
    <w:pitch w:val="default"/>
    <w:sig w:usb0="00000000" w:usb1="00000000" w:usb2="00082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24169"/>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3173801"/>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29"/>
    <w:rsid w:val="000615B0"/>
    <w:rsid w:val="000915F6"/>
    <w:rsid w:val="000C6A19"/>
    <w:rsid w:val="0020056E"/>
    <w:rsid w:val="00237A11"/>
    <w:rsid w:val="00273125"/>
    <w:rsid w:val="00364AC5"/>
    <w:rsid w:val="00366ED9"/>
    <w:rsid w:val="00374071"/>
    <w:rsid w:val="003D076A"/>
    <w:rsid w:val="00495D44"/>
    <w:rsid w:val="00496FAB"/>
    <w:rsid w:val="00537E2D"/>
    <w:rsid w:val="005D3D78"/>
    <w:rsid w:val="0066176E"/>
    <w:rsid w:val="0066334F"/>
    <w:rsid w:val="00674BCE"/>
    <w:rsid w:val="00796359"/>
    <w:rsid w:val="007C2277"/>
    <w:rsid w:val="007C2429"/>
    <w:rsid w:val="00803153"/>
    <w:rsid w:val="008053CD"/>
    <w:rsid w:val="00861FAE"/>
    <w:rsid w:val="008710FA"/>
    <w:rsid w:val="00901FE4"/>
    <w:rsid w:val="009274E3"/>
    <w:rsid w:val="00A078B5"/>
    <w:rsid w:val="00A14B23"/>
    <w:rsid w:val="00A52FA0"/>
    <w:rsid w:val="00B16C42"/>
    <w:rsid w:val="00B268F3"/>
    <w:rsid w:val="00B344FD"/>
    <w:rsid w:val="00B566E0"/>
    <w:rsid w:val="00BA17B1"/>
    <w:rsid w:val="00BF0393"/>
    <w:rsid w:val="00C74E3C"/>
    <w:rsid w:val="00CB01A6"/>
    <w:rsid w:val="00CC6B54"/>
    <w:rsid w:val="00D240F3"/>
    <w:rsid w:val="00D63391"/>
    <w:rsid w:val="00E35C42"/>
    <w:rsid w:val="00EC17F1"/>
    <w:rsid w:val="00F81920"/>
    <w:rsid w:val="00FA6614"/>
    <w:rsid w:val="00FA67FA"/>
    <w:rsid w:val="00FF01F2"/>
    <w:rsid w:val="03802885"/>
    <w:rsid w:val="150117F4"/>
    <w:rsid w:val="1E1D39FD"/>
    <w:rsid w:val="46647D0B"/>
    <w:rsid w:val="4AAB445E"/>
    <w:rsid w:val="4EE25459"/>
    <w:rsid w:val="4EE86147"/>
    <w:rsid w:val="549661C1"/>
    <w:rsid w:val="5F3237AF"/>
    <w:rsid w:val="5FEE3EC0"/>
    <w:rsid w:val="66CF1AA9"/>
    <w:rsid w:val="6BFDE40B"/>
    <w:rsid w:val="77143445"/>
    <w:rsid w:val="78881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9"/>
    <w:semiHidden/>
    <w:unhideWhenUsed/>
    <w:qFormat/>
    <w:uiPriority w:val="99"/>
    <w:rPr>
      <w:rFonts w:ascii="宋体"/>
      <w:sz w:val="18"/>
      <w:szCs w:val="18"/>
    </w:rPr>
  </w:style>
  <w:style w:type="paragraph" w:styleId="3">
    <w:name w:val="endnote text"/>
    <w:basedOn w:val="1"/>
    <w:link w:val="18"/>
    <w:semiHidden/>
    <w:unhideWhenUsed/>
    <w:qFormat/>
    <w:uiPriority w:val="99"/>
    <w:pPr>
      <w:snapToGrid w:val="0"/>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footnote text"/>
    <w:basedOn w:val="1"/>
    <w:link w:val="15"/>
    <w:qFormat/>
    <w:uiPriority w:val="0"/>
    <w:pPr>
      <w:snapToGrid w:val="0"/>
      <w:jc w:val="left"/>
    </w:pPr>
    <w:rPr>
      <w:sz w:val="18"/>
    </w:rPr>
  </w:style>
  <w:style w:type="character" w:styleId="10">
    <w:name w:val="endnote reference"/>
    <w:basedOn w:val="9"/>
    <w:semiHidden/>
    <w:unhideWhenUsed/>
    <w:qFormat/>
    <w:uiPriority w:val="99"/>
    <w:rPr>
      <w:vertAlign w:val="superscript"/>
    </w:rPr>
  </w:style>
  <w:style w:type="character" w:styleId="11">
    <w:name w:val="Hyperlink"/>
    <w:qFormat/>
    <w:uiPriority w:val="0"/>
    <w:rPr>
      <w:color w:val="0000FF"/>
      <w:u w:val="single"/>
    </w:rPr>
  </w:style>
  <w:style w:type="character" w:styleId="12">
    <w:name w:val="footnote reference"/>
    <w:basedOn w:val="9"/>
    <w:qFormat/>
    <w:uiPriority w:val="0"/>
    <w:rPr>
      <w:rFonts w:ascii="华文宋体" w:hAnsi="华文宋体" w:eastAsia="华文宋体"/>
      <w:sz w:val="30"/>
      <w:szCs w:val="30"/>
      <w:vertAlign w:val="superscript"/>
    </w:rPr>
  </w:style>
  <w:style w:type="character" w:customStyle="1" w:styleId="13">
    <w:name w:val="页眉 Char"/>
    <w:link w:val="6"/>
    <w:qFormat/>
    <w:uiPriority w:val="0"/>
    <w:rPr>
      <w:sz w:val="18"/>
      <w:szCs w:val="18"/>
    </w:rPr>
  </w:style>
  <w:style w:type="character" w:customStyle="1" w:styleId="14">
    <w:name w:val="页眉 Char1"/>
    <w:basedOn w:val="9"/>
    <w:link w:val="6"/>
    <w:semiHidden/>
    <w:qFormat/>
    <w:uiPriority w:val="99"/>
    <w:rPr>
      <w:rFonts w:ascii="Times New Roman" w:hAnsi="Times New Roman" w:eastAsia="宋体" w:cs="Times New Roman"/>
      <w:sz w:val="18"/>
      <w:szCs w:val="18"/>
    </w:rPr>
  </w:style>
  <w:style w:type="character" w:customStyle="1" w:styleId="15">
    <w:name w:val="脚注文本 Char"/>
    <w:basedOn w:val="9"/>
    <w:link w:val="7"/>
    <w:qFormat/>
    <w:uiPriority w:val="0"/>
    <w:rPr>
      <w:rFonts w:ascii="Times New Roman" w:hAnsi="Times New Roman" w:eastAsia="宋体" w:cs="Times New Roman"/>
      <w:sz w:val="18"/>
      <w:szCs w:val="24"/>
    </w:rPr>
  </w:style>
  <w:style w:type="character" w:customStyle="1" w:styleId="16">
    <w:name w:val="页脚 Char"/>
    <w:basedOn w:val="9"/>
    <w:link w:val="5"/>
    <w:qFormat/>
    <w:uiPriority w:val="99"/>
    <w:rPr>
      <w:rFonts w:ascii="Times New Roman" w:hAnsi="Times New Roman" w:eastAsia="宋体" w:cs="Times New Roman"/>
      <w:sz w:val="18"/>
      <w:szCs w:val="18"/>
    </w:rPr>
  </w:style>
  <w:style w:type="character" w:customStyle="1" w:styleId="17">
    <w:name w:val="批注框文本 Char"/>
    <w:basedOn w:val="9"/>
    <w:link w:val="4"/>
    <w:semiHidden/>
    <w:qFormat/>
    <w:uiPriority w:val="99"/>
    <w:rPr>
      <w:rFonts w:ascii="Times New Roman" w:hAnsi="Times New Roman" w:eastAsia="宋体" w:cs="Times New Roman"/>
      <w:sz w:val="18"/>
      <w:szCs w:val="18"/>
    </w:rPr>
  </w:style>
  <w:style w:type="character" w:customStyle="1" w:styleId="18">
    <w:name w:val="尾注文本 Char"/>
    <w:basedOn w:val="9"/>
    <w:link w:val="3"/>
    <w:semiHidden/>
    <w:qFormat/>
    <w:uiPriority w:val="99"/>
    <w:rPr>
      <w:rFonts w:ascii="Times New Roman" w:hAnsi="Times New Roman" w:eastAsia="宋体" w:cs="Times New Roman"/>
      <w:szCs w:val="24"/>
    </w:rPr>
  </w:style>
  <w:style w:type="character" w:customStyle="1" w:styleId="19">
    <w:name w:val="文档结构图 Char"/>
    <w:basedOn w:val="9"/>
    <w:link w:val="2"/>
    <w:semiHidden/>
    <w:qFormat/>
    <w:uiPriority w:val="99"/>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321</Words>
  <Characters>1833</Characters>
  <Lines>15</Lines>
  <Paragraphs>4</Paragraphs>
  <TotalTime>24</TotalTime>
  <ScaleCrop>false</ScaleCrop>
  <LinksUpToDate>false</LinksUpToDate>
  <CharactersWithSpaces>2150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2020-03-04T17:55:00Z</dcterms:created>
  <dc:creator>lenovo</dc:creator>
  <cp:lastModifiedBy>user</cp:lastModifiedBy>
  <cp:lastPrinted>2021-03-29T20:22:00Z</cp:lastPrinted>
  <dcterms:modified xsi:type="dcterms:W3CDTF">2021-04-02T08:48:42Z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