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hAnsi="外交小标宋" w:eastAsia="外交小标宋" w:cs="外交小标宋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i w:val="0"/>
          <w:caps w:val="0"/>
          <w:color w:val="333333"/>
          <w:spacing w:val="0"/>
          <w:sz w:val="36"/>
          <w:szCs w:val="36"/>
          <w:lang w:val="en-US" w:eastAsia="zh-CN"/>
        </w:rPr>
        <w:t>外交部服务中心2020年社会公开招聘岗位信息表</w:t>
      </w:r>
    </w:p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27"/>
          <w:sz w:val="32"/>
          <w:szCs w:val="32"/>
          <w:u w:val="none"/>
          <w:vertAlign w:val="baseli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27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tbl>
      <w:tblPr>
        <w:tblStyle w:val="4"/>
        <w:tblW w:w="14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25"/>
        <w:gridCol w:w="1061"/>
        <w:gridCol w:w="7116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岗位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人数</w:t>
            </w:r>
          </w:p>
        </w:tc>
        <w:tc>
          <w:tcPr>
            <w:tcW w:w="7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 w:rightChars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岗位描述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 w:rightChars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应急管理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调研岗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</w:rPr>
              <w:t>1</w:t>
            </w:r>
          </w:p>
        </w:tc>
        <w:tc>
          <w:tcPr>
            <w:tcW w:w="7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密切跟踪国内外形势发展；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就服务中心是否启动应急机制做出评估，并提出应对建议；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指导服务中心各单位完善应急预案；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加强对服务中心各单位应急措施的检查，并督促落实。</w:t>
            </w:r>
            <w:bookmarkStart w:id="0" w:name="_GoBack"/>
            <w:bookmarkEnd w:id="0"/>
          </w:p>
        </w:tc>
        <w:tc>
          <w:tcPr>
            <w:tcW w:w="3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.具备两年以上应急管理和风险防控相关工作经验，能够熟练使用一门外语开展工作；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.具有较强信息分析能力、风险识别能力、文字表达能力、沟通协调能力，具备良好的职业道德和团队协作精神。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医师岗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1</w:t>
            </w:r>
          </w:p>
        </w:tc>
        <w:tc>
          <w:tcPr>
            <w:tcW w:w="7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1.参加机关门诊部日常门诊和大型活动医疗保障工作；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2.参与部机关及驻外机构相关医疗服务工作，开展医疗咨询；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3.严格执行机关门诊部的诊疗规范、技术操作规范和病历书写规范，严格遵守用药原则；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4.不断提高服务质量，积极开展医患沟通，避免医疗纠纷和事故；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5.积极参加专业培训，努力提高自身专业技术水平；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6.宣传卫生保健知识，在部机关开展健康教育。</w:t>
            </w:r>
          </w:p>
        </w:tc>
        <w:tc>
          <w:tcPr>
            <w:tcW w:w="3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.取得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医师资格证书、医师执业证书、专业技术人员职业资格证书，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具有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主治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医师及以上专业技术职称，内科、重症医学科、急诊内科等专科方向优先；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.严格遵守国家法律法规，具备良好的医德医风和敬业精神；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.遇有紧急任务需加班或赴境内外出差。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药师岗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1</w:t>
            </w:r>
          </w:p>
        </w:tc>
        <w:tc>
          <w:tcPr>
            <w:tcW w:w="7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1.参加机关门诊部日常药品调剂配发、药品信息维护、药品采购、库房管理等日常业务工作，负责对病人提供基本的用药咨询；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2.认真执行有关规章制度和各项技术操作规程，严防差错事故，保证药品质量，做好各项工作登记和统计；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3.按照相关标准和制度要求制作报表和管理文件；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4.积极参加专业培训，努力提高自身专业技术水平。</w:t>
            </w:r>
          </w:p>
        </w:tc>
        <w:tc>
          <w:tcPr>
            <w:tcW w:w="3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药学专业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2.取得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专业技术人员职业资格证书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，掌握药品基本药理知识，具备药品管理、药品法规和医疗保健等相关知识；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3.严格遵守国家法律法规，具备良好的医德医风和敬业精神；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.遇有紧急任务需加班。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w w:val="90"/>
                <w:sz w:val="32"/>
                <w:szCs w:val="32"/>
                <w:u w:val="none"/>
                <w:vertAlign w:val="baseline"/>
              </w:rPr>
              <w:t>保教管理岗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2</w:t>
            </w:r>
          </w:p>
        </w:tc>
        <w:tc>
          <w:tcPr>
            <w:tcW w:w="71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1.认真贯彻园长、业务园长会议各项要求，根据全园计划、本园特色和园所实际发展制定相应的保教工作计划，带领并指导保教人员制定好学年、学期等各种工作计划及总结；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2.按照《幼儿园工作规程》有计划开展切合本园实际需求的业务学习和专题教研活动，鼓励并支持保教人员在教育实践中创新，促进提高园所业务发展；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3.做好保教人员考勤管理工作，每日进班指导班级日常生活管理、卫生保健、教育活动计划落实，每周定期批阅教师教案；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4.协助业务园长做好保教人员思想工作和年轻教师培养，配合教委要求做好继续教育相关培训统筹工作；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5.做好与卫生保健、后勤的沟通工作，相互配合做好园所卫生保健和营养工作；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6.做好教师业务档案整理，幼儿教具、玩具、教材的购买和分配管理工作；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7.定期组织家长大型活动，开展家长工作、家长会、开放日等；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8.配合完成教委大组园组长工作；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9.完成园内临时性工作任务。</w:t>
            </w:r>
          </w:p>
        </w:tc>
        <w:tc>
          <w:tcPr>
            <w:tcW w:w="3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1.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中共党员优先；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2.学前教育、教育管理、幼教相关专业，具备幼教经验，有保教管理经验者优先；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3.持有教师岗位资格证；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4.有丰富的专业理论知识和技能，有一定的指导技能，从事过专题研究或课题研究并有论文、论著发表者优先；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5.普通话水平一级乙等及以上；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6.身体状况符合北京市卫生妇幼保健体检要求。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6FDD0"/>
    <w:multiLevelType w:val="singleLevel"/>
    <w:tmpl w:val="CCF6FD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B910CA"/>
    <w:multiLevelType w:val="singleLevel"/>
    <w:tmpl w:val="5EB910C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0612F"/>
    <w:rsid w:val="0AAC0C4A"/>
    <w:rsid w:val="0EF256E9"/>
    <w:rsid w:val="21B9588E"/>
    <w:rsid w:val="22A5494A"/>
    <w:rsid w:val="27E0612F"/>
    <w:rsid w:val="3F817082"/>
    <w:rsid w:val="4D305F8F"/>
    <w:rsid w:val="63594FB7"/>
    <w:rsid w:val="75F14AF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2020-05-08T01:50:00Z</dcterms:created>
  <dc:creator>张楚童cherry</dc:creator>
  <cp:lastModifiedBy>wangshuai</cp:lastModifiedBy>
  <cp:lastPrinted>2020-05-09T07:45:00Z</cp:lastPrinted>
  <dcterms:modified xsi:type="dcterms:W3CDTF">2020-05-11T08:45:54Z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